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80"/>
      </w:pPr>
      <w:r>
        <w:rPr>
          <w:b/>
          <w:color w:val="181814"/>
          <w:sz w:val="44"/>
        </w:rPr>
        <w:t>Систематика Nosopsyllus fasciatus, ревизия Hystrichopsyllidae и экологические формы Hyalomma scupense s.l. в Закавказье</w:t>
      </w:r>
    </w:p>
    <w:p>
      <w:r>
        <w:rPr>
          <w:i/>
        </w:rPr>
        <w:t>Проверенная доказательная база: отчет, реестр источников, матрицы сравнения и приложение карточек.</w:t>
      </w:r>
    </w:p>
    <w:tbl>
      <w:tblPr>
        <w:tblStyle w:val="TableGrid"/>
        <w:tblW w:type="auto" w:w="0"/>
        <w:jc w:val="center"/>
        <w:tblLayout w:type="fixed"/>
        <w:tblLook w:firstColumn="1" w:firstRow="1" w:lastColumn="0" w:lastRow="0" w:noHBand="0" w:noVBand="1" w:val="04A0"/>
      </w:tblPr>
      <w:tblGrid>
        <w:gridCol w:w="2340"/>
        <w:gridCol w:w="2340"/>
        <w:gridCol w:w="2340"/>
        <w:gridCol w:w="2340"/>
      </w:tblGrid>
      <w:tr>
        <w:tc>
          <w:tcPr>
            <w:tcW w:type="dxa" w:w="2160"/>
            <w:vAlign w:val="center"/>
            <w:shd w:fill="F4F6F9"/>
          </w:tcPr>
          <w:p>
            <w:pPr>
              <w:spacing w:after="60"/>
            </w:pPr>
            <w:r>
              <w:rPr>
                <w:b/>
                <w:color w:val="1F4D78"/>
                <w:sz w:val="18"/>
              </w:rPr>
              <w:t>Прочитано: 16</w:t>
            </w:r>
          </w:p>
        </w:tc>
        <w:tc>
          <w:tcPr>
            <w:tcW w:type="dxa" w:w="2160"/>
            <w:vAlign w:val="center"/>
            <w:shd w:fill="F4F6F9"/>
          </w:tcPr>
          <w:p>
            <w:pPr>
              <w:spacing w:after="60"/>
            </w:pPr>
            <w:r>
              <w:rPr>
                <w:b/>
                <w:color w:val="1F4D78"/>
                <w:sz w:val="18"/>
              </w:rPr>
              <w:t>Исключено: 3</w:t>
            </w:r>
          </w:p>
        </w:tc>
        <w:tc>
          <w:tcPr>
            <w:tcW w:type="dxa" w:w="2592"/>
            <w:vAlign w:val="center"/>
            <w:shd w:fill="F4F6F9"/>
          </w:tcPr>
          <w:p>
            <w:pPr>
              <w:spacing w:after="60"/>
            </w:pPr>
            <w:r>
              <w:rPr>
                <w:b/>
                <w:color w:val="1F4D78"/>
                <w:sz w:val="18"/>
              </w:rPr>
              <w:t>HTML: встроенная читалка</w:t>
            </w:r>
          </w:p>
        </w:tc>
        <w:tc>
          <w:tcPr>
            <w:tcW w:type="dxa" w:w="2448"/>
            <w:vAlign w:val="center"/>
            <w:shd w:fill="F4F6F9"/>
          </w:tcPr>
          <w:p>
            <w:pPr>
              <w:spacing w:after="60"/>
            </w:pPr>
            <w:r>
              <w:rPr>
                <w:b/>
                <w:color w:val="1F4D78"/>
                <w:sz w:val="18"/>
              </w:rPr>
              <w:t>Дата: 2026-07-07</w:t>
            </w:r>
          </w:p>
        </w:tc>
      </w:tr>
    </w:tbl>
    <w:p>
      <w:pPr>
        <w:pStyle w:val="Heading1"/>
      </w:pPr>
      <w:r>
        <w:t>Файлы исследования</w:t>
      </w:r>
    </w:p>
    <w:p>
      <w:pPr>
        <w:pStyle w:val="ListBullet"/>
      </w:pPr>
      <w:hyperlink r:id="rId9">
        <w:r>
          <w:rPr>
            <w:color w:val="245A52"/>
            <w:u w:val="single"/>
          </w:rPr>
          <w:t>HTML-версия исследования</w:t>
        </w:r>
      </w:hyperlink>
      <w:r>
        <w:t>: verified_research_registry.html - Открывать первым: обзор, отчет, реестр, сравнение и читалка.</w:t>
      </w:r>
    </w:p>
    <w:p>
      <w:pPr>
        <w:pStyle w:val="ListBullet"/>
      </w:pPr>
      <w:hyperlink r:id="rId10">
        <w:r>
          <w:rPr>
            <w:color w:val="245A52"/>
            <w:u w:val="single"/>
          </w:rPr>
          <w:t>PDF-отчет</w:t>
        </w:r>
      </w:hyperlink>
      <w:r>
        <w:t>: verified_research_report.pdf - Статичная версия итогового отчета для пересылки и чтения без интерфейса.</w:t>
      </w:r>
    </w:p>
    <w:p>
      <w:pPr>
        <w:pStyle w:val="ListBullet"/>
      </w:pPr>
      <w:hyperlink r:id="rId11">
        <w:r>
          <w:rPr>
            <w:color w:val="245A52"/>
            <w:u w:val="single"/>
          </w:rPr>
          <w:t>Word-отчет</w:t>
        </w:r>
      </w:hyperlink>
      <w:r>
        <w:t>: verified_research_report.docx - Редактируемый отчет с реестром, сравнением и приложением карточек.</w:t>
      </w:r>
    </w:p>
    <w:p>
      <w:pPr>
        <w:pStyle w:val="ListBullet"/>
      </w:pPr>
      <w:hyperlink r:id="rId12">
        <w:r>
          <w:rPr>
            <w:color w:val="245A52"/>
            <w:u w:val="single"/>
          </w:rPr>
          <w:t>Excel-реестр</w:t>
        </w:r>
      </w:hyperlink>
      <w:r>
        <w:t>: verified_sources_registry.xlsx - Рабочая таблица источников, статусов, сравнений и ссылок.</w:t>
      </w:r>
    </w:p>
    <w:p>
      <w:pPr>
        <w:pStyle w:val="Heading1"/>
      </w:pPr>
      <w:r>
        <w:t>Как читать исследование</w:t>
      </w:r>
    </w:p>
    <w:p>
      <w:pPr>
        <w:pStyle w:val="ListBullet"/>
      </w:pPr>
      <w:r>
        <w:t>Сначала читать итоговый отчет: он дает выводы и статус доказанности.</w:t>
      </w:r>
    </w:p>
    <w:p>
      <w:pPr>
        <w:pStyle w:val="ListBullet"/>
      </w:pPr>
      <w:r>
        <w:t>Для проверки вывода открывать ссылки [Fxx] / [Txx]: они ведут в HTML-карточки источников.</w:t>
      </w:r>
    </w:p>
    <w:p>
      <w:pPr>
        <w:pStyle w:val="ListBullet"/>
      </w:pPr>
      <w:r>
        <w:t>Реестр и матрицы ниже нужны для сравнения источников по вопросу, методу и ограничениям.</w:t>
      </w:r>
    </w:p>
    <w:p>
      <w:pPr>
        <w:pStyle w:val="ListBullet"/>
      </w:pPr>
      <w:r>
        <w:t>Полные тексты источников открываются через ссылку Читать в HTML-читалке.</w:t>
      </w:r>
    </w:p>
    <w:p>
      <w:r>
        <w:br w:type="page"/>
      </w:r>
    </w:p>
    <w:p>
      <w:pPr>
        <w:pStyle w:val="Heading1"/>
      </w:pPr>
      <w:r>
        <w:t>Список иллюстраций</w:t>
      </w:r>
    </w:p>
    <w:p>
      <w:r>
        <w:t>Этот раздел переносит принятые иллюстрации и схемы в Word.</w:t>
      </w:r>
    </w:p>
    <w:tbl>
      <w:tblPr>
        <w:tblStyle w:val="TableGrid"/>
        <w:tblW w:type="auto" w:w="0"/>
        <w:jc w:val="center"/>
        <w:tblLayout w:type="fixed"/>
        <w:tblLook w:firstColumn="1" w:firstRow="1" w:lastColumn="0" w:lastRow="0" w:noHBand="0" w:noVBand="1" w:val="04A0"/>
      </w:tblPr>
      <w:tblGrid>
        <w:gridCol w:w="1560"/>
        <w:gridCol w:w="1560"/>
        <w:gridCol w:w="1560"/>
        <w:gridCol w:w="1560"/>
        <w:gridCol w:w="1560"/>
        <w:gridCol w:w="1560"/>
      </w:tblGrid>
      <w:tr>
        <w:tc>
          <w:tcPr>
            <w:tcW w:type="dxa" w:w="792"/>
            <w:vAlign w:val="center"/>
            <w:shd w:fill="EEF3F0"/>
          </w:tcPr>
          <w:p>
            <w:pPr>
              <w:spacing w:after="60"/>
            </w:pPr>
            <w:r>
              <w:rPr>
                <w:b/>
                <w:color w:val="1F4D78"/>
                <w:sz w:val="18"/>
              </w:rPr>
              <w:t>Номер</w:t>
            </w:r>
          </w:p>
        </w:tc>
        <w:tc>
          <w:tcPr>
            <w:tcW w:type="dxa" w:w="1872"/>
            <w:vAlign w:val="center"/>
            <w:shd w:fill="EEF3F0"/>
          </w:tcPr>
          <w:p>
            <w:pPr>
              <w:spacing w:after="60"/>
            </w:pPr>
            <w:r>
              <w:rPr>
                <w:b/>
                <w:color w:val="1F4D78"/>
                <w:sz w:val="18"/>
              </w:rPr>
              <w:t>Название</w:t>
            </w:r>
          </w:p>
        </w:tc>
        <w:tc>
          <w:tcPr>
            <w:tcW w:type="dxa" w:w="1944"/>
            <w:vAlign w:val="center"/>
            <w:shd w:fill="EEF3F0"/>
          </w:tcPr>
          <w:p>
            <w:pPr>
              <w:spacing w:after="60"/>
            </w:pPr>
            <w:r>
              <w:rPr>
                <w:b/>
                <w:color w:val="1F4D78"/>
                <w:sz w:val="18"/>
              </w:rPr>
              <w:t>Файл</w:t>
            </w:r>
          </w:p>
        </w:tc>
        <w:tc>
          <w:tcPr>
            <w:tcW w:type="dxa" w:w="1440"/>
            <w:vAlign w:val="center"/>
            <w:shd w:fill="EEF3F0"/>
          </w:tcPr>
          <w:p>
            <w:pPr>
              <w:spacing w:after="60"/>
            </w:pPr>
            <w:r>
              <w:rPr>
                <w:b/>
                <w:color w:val="1F4D78"/>
                <w:sz w:val="18"/>
              </w:rPr>
              <w:t>Класс</w:t>
            </w:r>
          </w:p>
        </w:tc>
        <w:tc>
          <w:tcPr>
            <w:tcW w:type="dxa" w:w="2736"/>
            <w:vAlign w:val="center"/>
            <w:shd w:fill="EEF3F0"/>
          </w:tcPr>
          <w:p>
            <w:pPr>
              <w:spacing w:after="60"/>
            </w:pPr>
            <w:r>
              <w:rPr>
                <w:b/>
                <w:color w:val="1F4D78"/>
                <w:sz w:val="18"/>
              </w:rPr>
              <w:t>Где используется</w:t>
            </w:r>
          </w:p>
        </w:tc>
        <w:tc>
          <w:tcPr>
            <w:tcW w:type="dxa" w:w="1152"/>
            <w:vAlign w:val="center"/>
            <w:shd w:fill="EEF3F0"/>
          </w:tcPr>
          <w:p>
            <w:pPr>
              <w:spacing w:after="60"/>
            </w:pPr>
            <w:r>
              <w:rPr>
                <w:b/>
                <w:color w:val="1F4D78"/>
                <w:sz w:val="18"/>
              </w:rPr>
              <w:t>Статус</w:t>
            </w:r>
          </w:p>
        </w:tc>
      </w:tr>
      <w:tr>
        <w:tc>
          <w:tcPr>
            <w:tcW w:type="dxa" w:w="792"/>
            <w:vAlign w:val="center"/>
          </w:tcPr>
          <w:p>
            <w:pPr>
              <w:spacing w:after="60"/>
            </w:pPr>
            <w:r>
              <w:rPr>
                <w:sz w:val="18"/>
              </w:rPr>
              <w:t>Иллюстрация 1</w:t>
            </w:r>
          </w:p>
        </w:tc>
        <w:tc>
          <w:tcPr>
            <w:tcW w:type="dxa" w:w="1872"/>
            <w:vAlign w:val="center"/>
          </w:tcPr>
          <w:p>
            <w:pPr>
              <w:spacing w:after="60"/>
            </w:pPr>
            <w:r>
              <w:rPr>
                <w:sz w:val="18"/>
              </w:rPr>
              <w:t>Обзор темы: блохи и клещи</w:t>
            </w:r>
          </w:p>
        </w:tc>
        <w:tc>
          <w:tcPr>
            <w:tcW w:type="dxa" w:w="1944"/>
            <w:vAlign w:val="center"/>
          </w:tcPr>
          <w:p>
            <w:pPr>
              <w:spacing w:after="60"/>
            </w:pPr>
            <w:r>
              <w:rPr>
                <w:sz w:val="18"/>
              </w:rPr>
            </w:r>
            <w:hyperlink r:id="rId13">
              <w:r>
                <w:rPr>
                  <w:color w:val="245A52"/>
                  <w:u w:val="single"/>
                </w:rPr>
                <w:t>research_package_hero_1k.png</w:t>
              </w:r>
            </w:hyperlink>
          </w:p>
        </w:tc>
        <w:tc>
          <w:tcPr>
            <w:tcW w:type="dxa" w:w="1440"/>
            <w:vAlign w:val="center"/>
          </w:tcPr>
          <w:p>
            <w:pPr>
              <w:spacing w:after="60"/>
            </w:pPr>
            <w:r>
              <w:rPr>
                <w:sz w:val="18"/>
              </w:rPr>
              <w:t>Иллюстрация</w:t>
            </w:r>
          </w:p>
        </w:tc>
        <w:tc>
          <w:tcPr>
            <w:tcW w:type="dxa" w:w="2736"/>
            <w:vAlign w:val="center"/>
          </w:tcPr>
          <w:p>
            <w:pPr>
              <w:spacing w:after="60"/>
            </w:pPr>
            <w:r>
              <w:rPr>
                <w:sz w:val="18"/>
              </w:rPr>
              <w:t>Обзор исследования, Начало Word/PDF-версии</w:t>
            </w:r>
          </w:p>
        </w:tc>
        <w:tc>
          <w:tcPr>
            <w:tcW w:type="dxa" w:w="1152"/>
            <w:vAlign w:val="center"/>
          </w:tcPr>
          <w:p>
            <w:pPr>
              <w:spacing w:after="60"/>
            </w:pPr>
            <w:r>
              <w:rPr>
                <w:sz w:val="18"/>
              </w:rPr>
              <w:t>иллюстрация, не доказательство</w:t>
            </w:r>
          </w:p>
        </w:tc>
      </w:tr>
      <w:tr>
        <w:tc>
          <w:tcPr>
            <w:tcW w:type="dxa" w:w="792"/>
            <w:vAlign w:val="center"/>
          </w:tcPr>
          <w:p>
            <w:pPr>
              <w:spacing w:after="60"/>
            </w:pPr>
            <w:r>
              <w:rPr>
                <w:sz w:val="18"/>
              </w:rPr>
              <w:t>Иллюстрация 2</w:t>
            </w:r>
          </w:p>
        </w:tc>
        <w:tc>
          <w:tcPr>
            <w:tcW w:type="dxa" w:w="1872"/>
            <w:vAlign w:val="center"/>
          </w:tcPr>
          <w:p>
            <w:pPr>
              <w:spacing w:after="60"/>
            </w:pPr>
            <w:r>
              <w:rPr>
                <w:sz w:val="18"/>
              </w:rPr>
              <w:t>Сравнение: блоха и иксодовый клещ</w:t>
            </w:r>
          </w:p>
        </w:tc>
        <w:tc>
          <w:tcPr>
            <w:tcW w:type="dxa" w:w="1944"/>
            <w:vAlign w:val="center"/>
          </w:tcPr>
          <w:p>
            <w:pPr>
              <w:spacing w:after="60"/>
            </w:pPr>
            <w:r>
              <w:rPr>
                <w:sz w:val="18"/>
              </w:rPr>
            </w:r>
            <w:hyperlink r:id="rId14">
              <w:r>
                <w:rPr>
                  <w:color w:val="245A52"/>
                  <w:u w:val="single"/>
                </w:rPr>
                <w:t>specimen_comparison_plate_1k.png</w:t>
              </w:r>
            </w:hyperlink>
          </w:p>
        </w:tc>
        <w:tc>
          <w:tcPr>
            <w:tcW w:type="dxa" w:w="1440"/>
            <w:vAlign w:val="center"/>
          </w:tcPr>
          <w:p>
            <w:pPr>
              <w:spacing w:after="60"/>
            </w:pPr>
            <w:r>
              <w:rPr>
                <w:sz w:val="18"/>
              </w:rPr>
              <w:t>Иллюстрация</w:t>
            </w:r>
          </w:p>
        </w:tc>
        <w:tc>
          <w:tcPr>
            <w:tcW w:type="dxa" w:w="2736"/>
            <w:vAlign w:val="center"/>
          </w:tcPr>
          <w:p>
            <w:pPr>
              <w:spacing w:after="60"/>
            </w:pPr>
            <w:r>
              <w:rPr>
                <w:sz w:val="18"/>
              </w:rPr>
              <w:t>Раздел по систематике и морфологии, Краткий обзор</w:t>
            </w:r>
          </w:p>
        </w:tc>
        <w:tc>
          <w:tcPr>
            <w:tcW w:type="dxa" w:w="1152"/>
            <w:vAlign w:val="center"/>
          </w:tcPr>
          <w:p>
            <w:pPr>
              <w:spacing w:after="60"/>
            </w:pPr>
            <w:r>
              <w:rPr>
                <w:sz w:val="18"/>
              </w:rPr>
              <w:t>иллюстрация, не доказательство</w:t>
            </w:r>
          </w:p>
        </w:tc>
      </w:tr>
      <w:tr>
        <w:tc>
          <w:tcPr>
            <w:tcW w:type="dxa" w:w="792"/>
            <w:vAlign w:val="center"/>
          </w:tcPr>
          <w:p>
            <w:pPr>
              <w:spacing w:after="60"/>
            </w:pPr>
            <w:r>
              <w:rPr>
                <w:sz w:val="18"/>
              </w:rPr>
              <w:t>Иллюстрация 3</w:t>
            </w:r>
          </w:p>
        </w:tc>
        <w:tc>
          <w:tcPr>
            <w:tcW w:type="dxa" w:w="1872"/>
            <w:vAlign w:val="center"/>
          </w:tcPr>
          <w:p>
            <w:pPr>
              <w:spacing w:after="60"/>
            </w:pPr>
            <w:r>
              <w:rPr>
                <w:sz w:val="18"/>
              </w:rPr>
              <w:t>Жизненный цикл Hyalomma scupense s.l.</w:t>
            </w:r>
          </w:p>
        </w:tc>
        <w:tc>
          <w:tcPr>
            <w:tcW w:type="dxa" w:w="1944"/>
            <w:vAlign w:val="center"/>
          </w:tcPr>
          <w:p>
            <w:pPr>
              <w:spacing w:after="60"/>
            </w:pPr>
            <w:r>
              <w:rPr>
                <w:sz w:val="18"/>
              </w:rPr>
            </w:r>
            <w:hyperlink r:id="rId15">
              <w:r>
                <w:rPr>
                  <w:color w:val="245A52"/>
                  <w:u w:val="single"/>
                </w:rPr>
                <w:t>hyalomma_life_cycle_arrows_1k.png</w:t>
              </w:r>
            </w:hyperlink>
          </w:p>
        </w:tc>
        <w:tc>
          <w:tcPr>
            <w:tcW w:type="dxa" w:w="1440"/>
            <w:vAlign w:val="center"/>
          </w:tcPr>
          <w:p>
            <w:pPr>
              <w:spacing w:after="60"/>
            </w:pPr>
            <w:r>
              <w:rPr>
                <w:sz w:val="18"/>
              </w:rPr>
              <w:t>Иллюстрация</w:t>
            </w:r>
          </w:p>
        </w:tc>
        <w:tc>
          <w:tcPr>
            <w:tcW w:type="dxa" w:w="2736"/>
            <w:vAlign w:val="center"/>
          </w:tcPr>
          <w:p>
            <w:pPr>
              <w:spacing w:after="60"/>
            </w:pPr>
            <w:r>
              <w:rPr>
                <w:sz w:val="18"/>
              </w:rPr>
              <w:t>Раздел по экологии Hyalomma scupense s.l., Пояснение жизненного цикла</w:t>
            </w:r>
          </w:p>
        </w:tc>
        <w:tc>
          <w:tcPr>
            <w:tcW w:type="dxa" w:w="1152"/>
            <w:vAlign w:val="center"/>
          </w:tcPr>
          <w:p>
            <w:pPr>
              <w:spacing w:after="60"/>
            </w:pPr>
            <w:r>
              <w:rPr>
                <w:sz w:val="18"/>
              </w:rPr>
              <w:t>иллюстрация, не доказательство</w:t>
            </w:r>
          </w:p>
        </w:tc>
      </w:tr>
      <w:tr>
        <w:tc>
          <w:tcPr>
            <w:tcW w:type="dxa" w:w="792"/>
            <w:vAlign w:val="center"/>
          </w:tcPr>
          <w:p>
            <w:pPr>
              <w:spacing w:after="60"/>
            </w:pPr>
            <w:r>
              <w:rPr>
                <w:sz w:val="18"/>
              </w:rPr>
              <w:t>Иллюстрация 4</w:t>
            </w:r>
          </w:p>
        </w:tc>
        <w:tc>
          <w:tcPr>
            <w:tcW w:type="dxa" w:w="1872"/>
            <w:vAlign w:val="center"/>
          </w:tcPr>
          <w:p>
            <w:pPr>
              <w:spacing w:after="60"/>
            </w:pPr>
            <w:r>
              <w:rPr>
                <w:sz w:val="18"/>
              </w:rPr>
              <w:t>Полевой контекст Закавказья</w:t>
            </w:r>
          </w:p>
        </w:tc>
        <w:tc>
          <w:tcPr>
            <w:tcW w:type="dxa" w:w="1944"/>
            <w:vAlign w:val="center"/>
          </w:tcPr>
          <w:p>
            <w:pPr>
              <w:spacing w:after="60"/>
            </w:pPr>
            <w:r>
              <w:rPr>
                <w:sz w:val="18"/>
              </w:rPr>
            </w:r>
            <w:hyperlink r:id="rId16">
              <w:r>
                <w:rPr>
                  <w:color w:val="245A52"/>
                  <w:u w:val="single"/>
                </w:rPr>
                <w:t>caucasus_field_ecology_1k.png</w:t>
              </w:r>
            </w:hyperlink>
          </w:p>
        </w:tc>
        <w:tc>
          <w:tcPr>
            <w:tcW w:type="dxa" w:w="1440"/>
            <w:vAlign w:val="center"/>
          </w:tcPr>
          <w:p>
            <w:pPr>
              <w:spacing w:after="60"/>
            </w:pPr>
            <w:r>
              <w:rPr>
                <w:sz w:val="18"/>
              </w:rPr>
              <w:t>Иллюстрация</w:t>
            </w:r>
          </w:p>
        </w:tc>
        <w:tc>
          <w:tcPr>
            <w:tcW w:type="dxa" w:w="2736"/>
            <w:vAlign w:val="center"/>
          </w:tcPr>
          <w:p>
            <w:pPr>
              <w:spacing w:after="60"/>
            </w:pPr>
            <w:r>
              <w:rPr>
                <w:sz w:val="18"/>
              </w:rPr>
              <w:t>Раздел по региональной экологии, Карточка по Азербайджану и Закавказью</w:t>
            </w:r>
          </w:p>
        </w:tc>
        <w:tc>
          <w:tcPr>
            <w:tcW w:type="dxa" w:w="1152"/>
            <w:vAlign w:val="center"/>
          </w:tcPr>
          <w:p>
            <w:pPr>
              <w:spacing w:after="60"/>
            </w:pPr>
            <w:r>
              <w:rPr>
                <w:sz w:val="18"/>
              </w:rPr>
              <w:t>иллюстрация, не доказательство</w:t>
            </w:r>
          </w:p>
        </w:tc>
      </w:tr>
    </w:tbl>
    <w:p>
      <w:pPr>
        <w:pStyle w:val="Heading2"/>
      </w:pPr>
      <w:r>
        <w:t>Иллюстрация 1. Обзор темы: блохи и клещи</w:t>
      </w:r>
    </w:p>
    <w:p>
      <w:pPr>
        <w:jc w:val="center"/>
      </w:pPr>
      <w:r>
        <w:drawing>
          <wp:inline xmlns:a="http://schemas.openxmlformats.org/drawingml/2006/main" xmlns:pic="http://schemas.openxmlformats.org/drawingml/2006/picture">
            <wp:extent cx="5303520" cy="2967446"/>
            <wp:docPr id="1" name="Picture 1"/>
            <wp:cNvGraphicFramePr>
              <a:graphicFrameLocks noChangeAspect="1"/>
            </wp:cNvGraphicFramePr>
            <a:graphic>
              <a:graphicData uri="http://schemas.openxmlformats.org/drawingml/2006/picture">
                <pic:pic>
                  <pic:nvPicPr>
                    <pic:cNvPr id="0" name="research_package_hero_1k.png"/>
                    <pic:cNvPicPr/>
                  </pic:nvPicPr>
                  <pic:blipFill>
                    <a:blip r:embed="rId17"/>
                    <a:stretch>
                      <a:fillRect/>
                    </a:stretch>
                  </pic:blipFill>
                  <pic:spPr>
                    <a:xfrm>
                      <a:off x="0" y="0"/>
                      <a:ext cx="5303520" cy="2967446"/>
                    </a:xfrm>
                    <a:prstGeom prst="rect"/>
                  </pic:spPr>
                </pic:pic>
              </a:graphicData>
            </a:graphic>
          </wp:inline>
        </w:drawing>
      </w:r>
    </w:p>
    <w:p>
      <w:r>
        <w:rPr>
          <w:b/>
        </w:rPr>
        <w:t xml:space="preserve">Подпись: </w:t>
      </w:r>
      <w:r>
        <w:t>Иллюстрация к теме: таксономическая и экологическая проверка источников по блохам и клещам.</w:t>
      </w:r>
    </w:p>
    <w:p>
      <w:r>
        <w:rPr>
          <w:b/>
        </w:rPr>
        <w:t xml:space="preserve">Основание: </w:t>
      </w:r>
      <w:r>
        <w:t>Иллюстрация; научные выводы берутся из проверенных источников.</w:t>
      </w:r>
    </w:p>
    <w:p>
      <w:pPr>
        <w:pStyle w:val="Heading2"/>
      </w:pPr>
      <w:r>
        <w:t>Иллюстрация 2. Сравнение: блоха и иксодовый клещ</w:t>
      </w:r>
    </w:p>
    <w:p>
      <w:pPr>
        <w:jc w:val="center"/>
      </w:pPr>
      <w:r>
        <w:drawing>
          <wp:inline xmlns:a="http://schemas.openxmlformats.org/drawingml/2006/main" xmlns:pic="http://schemas.openxmlformats.org/drawingml/2006/picture">
            <wp:extent cx="5303520" cy="2967446"/>
            <wp:docPr id="2" name="Picture 2"/>
            <wp:cNvGraphicFramePr>
              <a:graphicFrameLocks noChangeAspect="1"/>
            </wp:cNvGraphicFramePr>
            <a:graphic>
              <a:graphicData uri="http://schemas.openxmlformats.org/drawingml/2006/picture">
                <pic:pic>
                  <pic:nvPicPr>
                    <pic:cNvPr id="0" name="specimen_comparison_plate_1k.png"/>
                    <pic:cNvPicPr/>
                  </pic:nvPicPr>
                  <pic:blipFill>
                    <a:blip r:embed="rId18"/>
                    <a:stretch>
                      <a:fillRect/>
                    </a:stretch>
                  </pic:blipFill>
                  <pic:spPr>
                    <a:xfrm>
                      <a:off x="0" y="0"/>
                      <a:ext cx="5303520" cy="2967446"/>
                    </a:xfrm>
                    <a:prstGeom prst="rect"/>
                  </pic:spPr>
                </pic:pic>
              </a:graphicData>
            </a:graphic>
          </wp:inline>
        </w:drawing>
      </w:r>
    </w:p>
    <w:p>
      <w:r>
        <w:rPr>
          <w:b/>
        </w:rPr>
        <w:t xml:space="preserve">Подпись: </w:t>
      </w:r>
      <w:r>
        <w:t>Сравнительная иллюстрация: блоха в боковой проекции и иксодовый клещ в дорсальной проекции.</w:t>
      </w:r>
    </w:p>
    <w:p>
      <w:r>
        <w:rPr>
          <w:b/>
        </w:rPr>
        <w:t xml:space="preserve">Основание: </w:t>
      </w:r>
      <w:r>
        <w:t>Иллюстрация; морфологические выводы остаются привязанными к источникам.</w:t>
      </w:r>
    </w:p>
    <w:p>
      <w:pPr>
        <w:pStyle w:val="Heading2"/>
      </w:pPr>
      <w:r>
        <w:t>Иллюстрация 3. Жизненный цикл Hyalomma scupense s.l.</w:t>
      </w:r>
    </w:p>
    <w:p>
      <w:pPr>
        <w:jc w:val="center"/>
      </w:pPr>
      <w:r>
        <w:drawing>
          <wp:inline xmlns:a="http://schemas.openxmlformats.org/drawingml/2006/main" xmlns:pic="http://schemas.openxmlformats.org/drawingml/2006/picture">
            <wp:extent cx="5303520" cy="2967446"/>
            <wp:docPr id="3" name="Picture 3"/>
            <wp:cNvGraphicFramePr>
              <a:graphicFrameLocks noChangeAspect="1"/>
            </wp:cNvGraphicFramePr>
            <a:graphic>
              <a:graphicData uri="http://schemas.openxmlformats.org/drawingml/2006/picture">
                <pic:pic>
                  <pic:nvPicPr>
                    <pic:cNvPr id="0" name="hyalomma_life_cycle_arrows_1k.png"/>
                    <pic:cNvPicPr/>
                  </pic:nvPicPr>
                  <pic:blipFill>
                    <a:blip r:embed="rId19"/>
                    <a:stretch>
                      <a:fillRect/>
                    </a:stretch>
                  </pic:blipFill>
                  <pic:spPr>
                    <a:xfrm>
                      <a:off x="0" y="0"/>
                      <a:ext cx="5303520" cy="2967446"/>
                    </a:xfrm>
                    <a:prstGeom prst="rect"/>
                  </pic:spPr>
                </pic:pic>
              </a:graphicData>
            </a:graphic>
          </wp:inline>
        </w:drawing>
      </w:r>
    </w:p>
    <w:p>
      <w:r>
        <w:rPr>
          <w:b/>
        </w:rPr>
        <w:t xml:space="preserve">Подпись: </w:t>
      </w:r>
      <w:r>
        <w:t>Схематическая иллюстрация жизненного цикла клеща: стадии, хозяева и переходы между фазами.</w:t>
      </w:r>
    </w:p>
    <w:p>
      <w:r>
        <w:rPr>
          <w:b/>
        </w:rPr>
        <w:t xml:space="preserve">Основание: </w:t>
      </w:r>
      <w:r>
        <w:t>Иллюстрация; выводы о жизненном цикле и формах остаются привязанными к источникам.</w:t>
      </w:r>
    </w:p>
    <w:p>
      <w:pPr>
        <w:pStyle w:val="Heading2"/>
      </w:pPr>
      <w:r>
        <w:t>Иллюстрация 4. Полевой контекст Закавказья</w:t>
      </w:r>
    </w:p>
    <w:p>
      <w:pPr>
        <w:jc w:val="center"/>
      </w:pPr>
      <w:r>
        <w:drawing>
          <wp:inline xmlns:a="http://schemas.openxmlformats.org/drawingml/2006/main" xmlns:pic="http://schemas.openxmlformats.org/drawingml/2006/picture">
            <wp:extent cx="5303520" cy="3030583"/>
            <wp:docPr id="4" name="Picture 4"/>
            <wp:cNvGraphicFramePr>
              <a:graphicFrameLocks noChangeAspect="1"/>
            </wp:cNvGraphicFramePr>
            <a:graphic>
              <a:graphicData uri="http://schemas.openxmlformats.org/drawingml/2006/picture">
                <pic:pic>
                  <pic:nvPicPr>
                    <pic:cNvPr id="0" name="caucasus_field_ecology_1k.png"/>
                    <pic:cNvPicPr/>
                  </pic:nvPicPr>
                  <pic:blipFill>
                    <a:blip r:embed="rId20"/>
                    <a:stretch>
                      <a:fillRect/>
                    </a:stretch>
                  </pic:blipFill>
                  <pic:spPr>
                    <a:xfrm>
                      <a:off x="0" y="0"/>
                      <a:ext cx="5303520" cy="3030583"/>
                    </a:xfrm>
                    <a:prstGeom prst="rect"/>
                  </pic:spPr>
                </pic:pic>
              </a:graphicData>
            </a:graphic>
          </wp:inline>
        </w:drawing>
      </w:r>
    </w:p>
    <w:p>
      <w:r>
        <w:rPr>
          <w:b/>
        </w:rPr>
        <w:t xml:space="preserve">Подпись: </w:t>
      </w:r>
      <w:r>
        <w:t>Иллюстрация полевого контекста: сухие предгорные пастбища, скот и укрытия как экологическая рамка для обсуждения Hyalomma scupense s.l.</w:t>
      </w:r>
    </w:p>
    <w:p>
      <w:r>
        <w:rPr>
          <w:b/>
        </w:rPr>
        <w:t xml:space="preserve">Основание: </w:t>
      </w:r>
      <w:r>
        <w:t>Иллюстрация; региональные выводы остаются привязанными к источникам.</w:t>
      </w:r>
    </w:p>
    <w:p>
      <w:pPr>
        <w:pStyle w:val="Heading1"/>
      </w:pPr>
      <w:r>
        <w:t>Детерминированные научные фигуры</w:t>
      </w:r>
    </w:p>
    <w:p>
      <w:r>
        <w:t>Эти пять фигур строятся из структуры проверенной доказательной базы: они показывают связи между выводами, источниками, ограничениями и уровнем уверенности, не добавляя новых фактов.</w:t>
      </w:r>
    </w:p>
    <w:tbl>
      <w:tblPr>
        <w:tblStyle w:val="TableGrid"/>
        <w:tblW w:type="auto" w:w="0"/>
        <w:jc w:val="center"/>
        <w:tblLayout w:type="fixed"/>
        <w:tblLook w:firstColumn="1" w:firstRow="1" w:lastColumn="0" w:lastRow="0" w:noHBand="0" w:noVBand="1" w:val="04A0"/>
      </w:tblPr>
      <w:tblGrid>
        <w:gridCol w:w="1872"/>
        <w:gridCol w:w="1872"/>
        <w:gridCol w:w="1872"/>
        <w:gridCol w:w="1872"/>
        <w:gridCol w:w="1872"/>
      </w:tblGrid>
      <w:tr>
        <w:tc>
          <w:tcPr>
            <w:tcW w:type="dxa" w:w="792"/>
            <w:vAlign w:val="center"/>
            <w:shd w:fill="E8EEF5"/>
          </w:tcPr>
          <w:p>
            <w:pPr>
              <w:spacing w:after="60"/>
            </w:pPr>
            <w:r>
              <w:rPr>
                <w:b/>
                <w:color w:val="1F4D78"/>
                <w:sz w:val="18"/>
              </w:rPr>
              <w:t>Номер</w:t>
            </w:r>
          </w:p>
        </w:tc>
        <w:tc>
          <w:tcPr>
            <w:tcW w:type="dxa" w:w="2016"/>
            <w:vAlign w:val="center"/>
            <w:shd w:fill="E8EEF5"/>
          </w:tcPr>
          <w:p>
            <w:pPr>
              <w:spacing w:after="60"/>
            </w:pPr>
            <w:r>
              <w:rPr>
                <w:b/>
                <w:color w:val="1F4D78"/>
                <w:sz w:val="18"/>
              </w:rPr>
              <w:t>Название</w:t>
            </w:r>
          </w:p>
        </w:tc>
        <w:tc>
          <w:tcPr>
            <w:tcW w:type="dxa" w:w="2592"/>
            <w:vAlign w:val="center"/>
            <w:shd w:fill="E8EEF5"/>
          </w:tcPr>
          <w:p>
            <w:pPr>
              <w:spacing w:after="60"/>
            </w:pPr>
            <w:r>
              <w:rPr>
                <w:b/>
                <w:color w:val="1F4D78"/>
                <w:sz w:val="18"/>
              </w:rPr>
              <w:t>Вопрос</w:t>
            </w:r>
          </w:p>
        </w:tc>
        <w:tc>
          <w:tcPr>
            <w:tcW w:type="dxa" w:w="1728"/>
            <w:vAlign w:val="center"/>
            <w:shd w:fill="E8EEF5"/>
          </w:tcPr>
          <w:p>
            <w:pPr>
              <w:spacing w:after="60"/>
            </w:pPr>
            <w:r>
              <w:rPr>
                <w:b/>
                <w:color w:val="1F4D78"/>
                <w:sz w:val="18"/>
              </w:rPr>
              <w:t>Источники</w:t>
            </w:r>
          </w:p>
        </w:tc>
        <w:tc>
          <w:tcPr>
            <w:tcW w:type="dxa" w:w="2016"/>
            <w:vAlign w:val="center"/>
            <w:shd w:fill="E8EEF5"/>
          </w:tcPr>
          <w:p>
            <w:pPr>
              <w:spacing w:after="60"/>
            </w:pPr>
            <w:r>
              <w:rPr>
                <w:b/>
                <w:color w:val="1F4D78"/>
                <w:sz w:val="18"/>
              </w:rPr>
              <w:t>Оговорка</w:t>
            </w:r>
          </w:p>
        </w:tc>
      </w:tr>
      <w:tr>
        <w:tc>
          <w:tcPr>
            <w:tcW w:type="dxa" w:w="792"/>
            <w:vAlign w:val="center"/>
          </w:tcPr>
          <w:p>
            <w:pPr>
              <w:spacing w:after="60"/>
            </w:pPr>
            <w:r>
              <w:rPr>
                <w:sz w:val="18"/>
              </w:rPr>
              <w:t>Научная схема 1</w:t>
            </w:r>
          </w:p>
        </w:tc>
        <w:tc>
          <w:tcPr>
            <w:tcW w:type="dxa" w:w="2016"/>
            <w:vAlign w:val="center"/>
          </w:tcPr>
          <w:p>
            <w:pPr>
              <w:spacing w:after="60"/>
            </w:pPr>
            <w:r>
              <w:rPr>
                <w:sz w:val="18"/>
              </w:rPr>
              <w:t>Карта доказательств</w:t>
            </w:r>
          </w:p>
        </w:tc>
        <w:tc>
          <w:tcPr>
            <w:tcW w:type="dxa" w:w="2592"/>
            <w:vAlign w:val="center"/>
          </w:tcPr>
          <w:p>
            <w:pPr>
              <w:spacing w:after="60"/>
            </w:pPr>
            <w:r>
              <w:rPr>
                <w:sz w:val="18"/>
              </w:rPr>
              <w:t>Какие источники поддерживают главные выводы отчета?</w:t>
            </w:r>
          </w:p>
        </w:tc>
        <w:tc>
          <w:tcPr>
            <w:tcW w:type="dxa" w:w="1728"/>
            <w:vAlign w:val="center"/>
          </w:tcPr>
          <w:p>
            <w:pPr>
              <w:spacing w:after="60"/>
            </w:pPr>
            <w:r>
              <w:rPr>
                <w:sz w:val="18"/>
              </w:rPr>
            </w:r>
            <w:hyperlink r:id="rId21">
              <w:r>
                <w:rPr>
                  <w:color w:val="245A52"/>
                  <w:u w:val="single"/>
                </w:rPr>
                <w:t>[F01]</w:t>
              </w:r>
            </w:hyperlink>
            <w:r>
              <w:rPr>
                <w:sz w:val="18"/>
              </w:rPr>
              <w:t xml:space="preserve">, </w:t>
            </w:r>
            <w:hyperlink r:id="rId22">
              <w:r>
                <w:rPr>
                  <w:color w:val="245A52"/>
                  <w:u w:val="single"/>
                </w:rPr>
                <w:t>[F02]</w:t>
              </w:r>
            </w:hyperlink>
            <w:r>
              <w:rPr>
                <w:sz w:val="18"/>
              </w:rPr>
              <w:t xml:space="preserve">, </w:t>
            </w:r>
            <w:hyperlink r:id="rId23">
              <w:r>
                <w:rPr>
                  <w:color w:val="245A52"/>
                  <w:u w:val="single"/>
                </w:rPr>
                <w:t>[F05]</w:t>
              </w:r>
            </w:hyperlink>
            <w:r>
              <w:rPr>
                <w:sz w:val="18"/>
              </w:rPr>
              <w:t xml:space="preserve">, </w:t>
            </w:r>
            <w:hyperlink r:id="rId24">
              <w:r>
                <w:rPr>
                  <w:color w:val="245A52"/>
                  <w:u w:val="single"/>
                </w:rPr>
                <w:t>[F06]</w:t>
              </w:r>
            </w:hyperlink>
            <w:r>
              <w:rPr>
                <w:sz w:val="18"/>
              </w:rPr>
              <w:t xml:space="preserve">, </w:t>
            </w:r>
            <w:hyperlink r:id="rId25">
              <w:r>
                <w:rPr>
                  <w:color w:val="245A52"/>
                  <w:u w:val="single"/>
                </w:rPr>
                <w:t>[F07]</w:t>
              </w:r>
            </w:hyperlink>
            <w:r>
              <w:rPr>
                <w:sz w:val="18"/>
              </w:rPr>
              <w:t xml:space="preserve">, </w:t>
            </w:r>
            <w:hyperlink r:id="rId26">
              <w:r>
                <w:rPr>
                  <w:color w:val="245A52"/>
                  <w:u w:val="single"/>
                </w:rPr>
                <w:t>[F08]</w:t>
              </w:r>
            </w:hyperlink>
            <w:r>
              <w:rPr>
                <w:sz w:val="18"/>
              </w:rPr>
              <w:t xml:space="preserve">, </w:t>
            </w:r>
            <w:hyperlink r:id="rId27">
              <w:r>
                <w:rPr>
                  <w:color w:val="245A52"/>
                  <w:u w:val="single"/>
                </w:rPr>
                <w:t>[F09]</w:t>
              </w:r>
            </w:hyperlink>
            <w:r>
              <w:rPr>
                <w:sz w:val="18"/>
              </w:rPr>
              <w:t xml:space="preserve">, </w:t>
            </w:r>
            <w:hyperlink r:id="rId28">
              <w:r>
                <w:rPr>
                  <w:color w:val="245A52"/>
                  <w:u w:val="single"/>
                </w:rPr>
                <w:t>[T01]</w:t>
              </w:r>
            </w:hyperlink>
            <w:r>
              <w:rPr>
                <w:sz w:val="18"/>
              </w:rPr>
              <w:t xml:space="preserve">, </w:t>
            </w:r>
            <w:hyperlink r:id="rId29">
              <w:r>
                <w:rPr>
                  <w:color w:val="245A52"/>
                  <w:u w:val="single"/>
                </w:rPr>
                <w:t>[T02]</w:t>
              </w:r>
            </w:hyperlink>
            <w:r>
              <w:rPr>
                <w:sz w:val="18"/>
              </w:rPr>
              <w:t xml:space="preserve">, </w:t>
            </w:r>
            <w:hyperlink r:id="rId30">
              <w:r>
                <w:rPr>
                  <w:color w:val="245A52"/>
                  <w:u w:val="single"/>
                </w:rPr>
                <w:t>[T03]</w:t>
              </w:r>
            </w:hyperlink>
            <w:r>
              <w:rPr>
                <w:sz w:val="18"/>
              </w:rPr>
              <w:t xml:space="preserve">, </w:t>
            </w:r>
            <w:hyperlink r:id="rId31">
              <w:r>
                <w:rPr>
                  <w:color w:val="245A52"/>
                  <w:u w:val="single"/>
                </w:rPr>
                <w:t>[T04]</w:t>
              </w:r>
            </w:hyperlink>
            <w:r>
              <w:rPr>
                <w:sz w:val="18"/>
              </w:rPr>
              <w:t xml:space="preserve">, </w:t>
            </w:r>
            <w:hyperlink r:id="rId32">
              <w:r>
                <w:rPr>
                  <w:color w:val="245A52"/>
                  <w:u w:val="single"/>
                </w:rPr>
                <w:t>[T05]</w:t>
              </w:r>
            </w:hyperlink>
            <w:r>
              <w:rPr>
                <w:sz w:val="18"/>
              </w:rPr>
              <w:t xml:space="preserve">, </w:t>
            </w:r>
            <w:hyperlink r:id="rId33">
              <w:r>
                <w:rPr>
                  <w:color w:val="245A52"/>
                  <w:u w:val="single"/>
                </w:rPr>
                <w:t>[T06]</w:t>
              </w:r>
            </w:hyperlink>
            <w:r>
              <w:rPr>
                <w:sz w:val="18"/>
              </w:rPr>
              <w:t xml:space="preserve">, </w:t>
            </w:r>
            <w:hyperlink r:id="rId34">
              <w:r>
                <w:rPr>
                  <w:color w:val="245A52"/>
                  <w:u w:val="single"/>
                </w:rPr>
                <w:t>[T07]</w:t>
              </w:r>
            </w:hyperlink>
          </w:p>
        </w:tc>
        <w:tc>
          <w:tcPr>
            <w:tcW w:type="dxa" w:w="2016"/>
            <w:vAlign w:val="center"/>
          </w:tcPr>
          <w:p>
            <w:pPr>
              <w:spacing w:after="60"/>
            </w:pPr>
            <w:r>
              <w:rPr>
                <w:sz w:val="18"/>
              </w:rPr>
              <w:t>Схема не добавляет новых фактов: она только раскладывает уже проверенные источники и ограничения.</w:t>
            </w:r>
          </w:p>
        </w:tc>
      </w:tr>
      <w:tr>
        <w:tc>
          <w:tcPr>
            <w:tcW w:type="dxa" w:w="792"/>
            <w:vAlign w:val="center"/>
          </w:tcPr>
          <w:p>
            <w:pPr>
              <w:spacing w:after="60"/>
            </w:pPr>
            <w:r>
              <w:rPr>
                <w:sz w:val="18"/>
              </w:rPr>
              <w:t>Научная схема 2</w:t>
            </w:r>
          </w:p>
        </w:tc>
        <w:tc>
          <w:tcPr>
            <w:tcW w:type="dxa" w:w="2016"/>
            <w:vAlign w:val="center"/>
          </w:tcPr>
          <w:p>
            <w:pPr>
              <w:spacing w:after="60"/>
            </w:pPr>
            <w:r>
              <w:rPr>
                <w:sz w:val="18"/>
              </w:rPr>
              <w:t>Таксономическая схема H. scupense / H. detritum</w:t>
            </w:r>
          </w:p>
        </w:tc>
        <w:tc>
          <w:tcPr>
            <w:tcW w:type="dxa" w:w="2592"/>
            <w:vAlign w:val="center"/>
          </w:tcPr>
          <w:p>
            <w:pPr>
              <w:spacing w:after="60"/>
            </w:pPr>
            <w:r>
              <w:rPr>
                <w:sz w:val="18"/>
              </w:rPr>
              <w:t>Почему H. detritum не ведется как чистый отдельный вид?</w:t>
            </w:r>
          </w:p>
        </w:tc>
        <w:tc>
          <w:tcPr>
            <w:tcW w:type="dxa" w:w="1728"/>
            <w:vAlign w:val="center"/>
          </w:tcPr>
          <w:p>
            <w:pPr>
              <w:spacing w:after="60"/>
            </w:pPr>
            <w:r>
              <w:rPr>
                <w:sz w:val="18"/>
              </w:rPr>
            </w:r>
            <w:hyperlink r:id="rId28">
              <w:r>
                <w:rPr>
                  <w:color w:val="245A52"/>
                  <w:u w:val="single"/>
                </w:rPr>
                <w:t>[T01]</w:t>
              </w:r>
            </w:hyperlink>
            <w:r>
              <w:rPr>
                <w:sz w:val="18"/>
              </w:rPr>
              <w:t xml:space="preserve">, </w:t>
            </w:r>
            <w:hyperlink r:id="rId29">
              <w:r>
                <w:rPr>
                  <w:color w:val="245A52"/>
                  <w:u w:val="single"/>
                </w:rPr>
                <w:t>[T02]</w:t>
              </w:r>
            </w:hyperlink>
            <w:r>
              <w:rPr>
                <w:sz w:val="18"/>
              </w:rPr>
              <w:t xml:space="preserve">, </w:t>
            </w:r>
            <w:hyperlink r:id="rId32">
              <w:r>
                <w:rPr>
                  <w:color w:val="245A52"/>
                  <w:u w:val="single"/>
                </w:rPr>
                <w:t>[T05]</w:t>
              </w:r>
            </w:hyperlink>
            <w:r>
              <w:rPr>
                <w:sz w:val="18"/>
              </w:rPr>
              <w:t xml:space="preserve">, </w:t>
            </w:r>
            <w:hyperlink r:id="rId33">
              <w:r>
                <w:rPr>
                  <w:color w:val="245A52"/>
                  <w:u w:val="single"/>
                </w:rPr>
                <w:t>[T06]</w:t>
              </w:r>
            </w:hyperlink>
            <w:r>
              <w:rPr>
                <w:sz w:val="18"/>
              </w:rPr>
              <w:t xml:space="preserve">, </w:t>
            </w:r>
            <w:hyperlink r:id="rId34">
              <w:r>
                <w:rPr>
                  <w:color w:val="245A52"/>
                  <w:u w:val="single"/>
                </w:rPr>
                <w:t>[T07]</w:t>
              </w:r>
            </w:hyperlink>
          </w:p>
        </w:tc>
        <w:tc>
          <w:tcPr>
            <w:tcW w:type="dxa" w:w="2016"/>
            <w:vAlign w:val="center"/>
          </w:tcPr>
          <w:p>
            <w:pPr>
              <w:spacing w:after="60"/>
            </w:pPr>
            <w:r>
              <w:rPr>
                <w:sz w:val="18"/>
              </w:rPr>
              <w:t>Схема фиксирует логику отчета; она не является новой номенклатурной ревизией.</w:t>
            </w:r>
          </w:p>
        </w:tc>
      </w:tr>
      <w:tr>
        <w:tc>
          <w:tcPr>
            <w:tcW w:type="dxa" w:w="792"/>
            <w:vAlign w:val="center"/>
          </w:tcPr>
          <w:p>
            <w:pPr>
              <w:spacing w:after="60"/>
            </w:pPr>
            <w:r>
              <w:rPr>
                <w:sz w:val="18"/>
              </w:rPr>
              <w:t>Научная схема 3</w:t>
            </w:r>
          </w:p>
        </w:tc>
        <w:tc>
          <w:tcPr>
            <w:tcW w:type="dxa" w:w="2016"/>
            <w:vAlign w:val="center"/>
          </w:tcPr>
          <w:p>
            <w:pPr>
              <w:spacing w:after="60"/>
            </w:pPr>
            <w:r>
              <w:rPr>
                <w:sz w:val="18"/>
              </w:rPr>
              <w:t>Сравнение экологических форм H. scupense s.l.</w:t>
            </w:r>
          </w:p>
        </w:tc>
        <w:tc>
          <w:tcPr>
            <w:tcW w:type="dxa" w:w="2592"/>
            <w:vAlign w:val="center"/>
          </w:tcPr>
          <w:p>
            <w:pPr>
              <w:spacing w:after="60"/>
            </w:pPr>
            <w:r>
              <w:rPr>
                <w:sz w:val="18"/>
              </w:rPr>
              <w:t>Чем отличаются обсуждаемые экологические формы и где граница доказанного?</w:t>
            </w:r>
          </w:p>
        </w:tc>
        <w:tc>
          <w:tcPr>
            <w:tcW w:type="dxa" w:w="1728"/>
            <w:vAlign w:val="center"/>
          </w:tcPr>
          <w:p>
            <w:pPr>
              <w:spacing w:after="60"/>
            </w:pPr>
            <w:r>
              <w:rPr>
                <w:sz w:val="18"/>
              </w:rPr>
            </w:r>
            <w:hyperlink r:id="rId28">
              <w:r>
                <w:rPr>
                  <w:color w:val="245A52"/>
                  <w:u w:val="single"/>
                </w:rPr>
                <w:t>[T01]</w:t>
              </w:r>
            </w:hyperlink>
            <w:r>
              <w:rPr>
                <w:sz w:val="18"/>
              </w:rPr>
              <w:t xml:space="preserve">, </w:t>
            </w:r>
            <w:hyperlink r:id="rId29">
              <w:r>
                <w:rPr>
                  <w:color w:val="245A52"/>
                  <w:u w:val="single"/>
                </w:rPr>
                <w:t>[T02]</w:t>
              </w:r>
            </w:hyperlink>
            <w:r>
              <w:rPr>
                <w:sz w:val="18"/>
              </w:rPr>
              <w:t xml:space="preserve">, </w:t>
            </w:r>
            <w:hyperlink r:id="rId30">
              <w:r>
                <w:rPr>
                  <w:color w:val="245A52"/>
                  <w:u w:val="single"/>
                </w:rPr>
                <w:t>[T03]</w:t>
              </w:r>
            </w:hyperlink>
            <w:r>
              <w:rPr>
                <w:sz w:val="18"/>
              </w:rPr>
              <w:t xml:space="preserve">, </w:t>
            </w:r>
            <w:hyperlink r:id="rId31">
              <w:r>
                <w:rPr>
                  <w:color w:val="245A52"/>
                  <w:u w:val="single"/>
                </w:rPr>
                <w:t>[T04]</w:t>
              </w:r>
            </w:hyperlink>
            <w:r>
              <w:rPr>
                <w:sz w:val="18"/>
              </w:rPr>
              <w:t xml:space="preserve">, </w:t>
            </w:r>
            <w:hyperlink r:id="rId34">
              <w:r>
                <w:rPr>
                  <w:color w:val="245A52"/>
                  <w:u w:val="single"/>
                </w:rPr>
                <w:t>[T07]</w:t>
              </w:r>
            </w:hyperlink>
          </w:p>
        </w:tc>
        <w:tc>
          <w:tcPr>
            <w:tcW w:type="dxa" w:w="2016"/>
            <w:vAlign w:val="center"/>
          </w:tcPr>
          <w:p>
            <w:pPr>
              <w:spacing w:after="60"/>
            </w:pPr>
            <w:r>
              <w:rPr>
                <w:sz w:val="18"/>
              </w:rPr>
              <w:t>Сравнение не переносит автоматически данные Магриба, Туниса, Китая или Казахстана на Азербайджан.</w:t>
            </w:r>
          </w:p>
        </w:tc>
      </w:tr>
      <w:tr>
        <w:tc>
          <w:tcPr>
            <w:tcW w:type="dxa" w:w="792"/>
            <w:vAlign w:val="center"/>
          </w:tcPr>
          <w:p>
            <w:pPr>
              <w:spacing w:after="60"/>
            </w:pPr>
            <w:r>
              <w:rPr>
                <w:sz w:val="18"/>
              </w:rPr>
              <w:t>Научная схема 4</w:t>
            </w:r>
          </w:p>
        </w:tc>
        <w:tc>
          <w:tcPr>
            <w:tcW w:type="dxa" w:w="2016"/>
            <w:vAlign w:val="center"/>
          </w:tcPr>
          <w:p>
            <w:pPr>
              <w:spacing w:after="60"/>
            </w:pPr>
            <w:r>
              <w:rPr>
                <w:sz w:val="18"/>
              </w:rPr>
              <w:t>Матрица источников и тезисов</w:t>
            </w:r>
          </w:p>
        </w:tc>
        <w:tc>
          <w:tcPr>
            <w:tcW w:type="dxa" w:w="2592"/>
            <w:vAlign w:val="center"/>
          </w:tcPr>
          <w:p>
            <w:pPr>
              <w:spacing w:after="60"/>
            </w:pPr>
            <w:r>
              <w:rPr>
                <w:sz w:val="18"/>
              </w:rPr>
              <w:t>Какие источники доказывают, поддерживают или ограничивают ключевые утверждения?</w:t>
            </w:r>
          </w:p>
        </w:tc>
        <w:tc>
          <w:tcPr>
            <w:tcW w:type="dxa" w:w="1728"/>
            <w:vAlign w:val="center"/>
          </w:tcPr>
          <w:p>
            <w:pPr>
              <w:spacing w:after="60"/>
            </w:pPr>
            <w:r>
              <w:rPr>
                <w:sz w:val="18"/>
              </w:rPr>
            </w:r>
            <w:hyperlink r:id="rId21">
              <w:r>
                <w:rPr>
                  <w:color w:val="245A52"/>
                  <w:u w:val="single"/>
                </w:rPr>
                <w:t>[F01]</w:t>
              </w:r>
            </w:hyperlink>
            <w:r>
              <w:rPr>
                <w:sz w:val="18"/>
              </w:rPr>
              <w:t xml:space="preserve">, </w:t>
            </w:r>
            <w:hyperlink r:id="rId22">
              <w:r>
                <w:rPr>
                  <w:color w:val="245A52"/>
                  <w:u w:val="single"/>
                </w:rPr>
                <w:t>[F02]</w:t>
              </w:r>
            </w:hyperlink>
            <w:r>
              <w:rPr>
                <w:sz w:val="18"/>
              </w:rPr>
              <w:t xml:space="preserve">, </w:t>
            </w:r>
            <w:hyperlink r:id="rId35">
              <w:r>
                <w:rPr>
                  <w:color w:val="245A52"/>
                  <w:u w:val="single"/>
                </w:rPr>
                <w:t>[F03]</w:t>
              </w:r>
            </w:hyperlink>
            <w:r>
              <w:rPr>
                <w:sz w:val="18"/>
              </w:rPr>
              <w:t xml:space="preserve">, </w:t>
            </w:r>
            <w:hyperlink r:id="rId23">
              <w:r>
                <w:rPr>
                  <w:color w:val="245A52"/>
                  <w:u w:val="single"/>
                </w:rPr>
                <w:t>[F05]</w:t>
              </w:r>
            </w:hyperlink>
            <w:r>
              <w:rPr>
                <w:sz w:val="18"/>
              </w:rPr>
              <w:t xml:space="preserve">, </w:t>
            </w:r>
            <w:hyperlink r:id="rId26">
              <w:r>
                <w:rPr>
                  <w:color w:val="245A52"/>
                  <w:u w:val="single"/>
                </w:rPr>
                <w:t>[F08]</w:t>
              </w:r>
            </w:hyperlink>
            <w:r>
              <w:rPr>
                <w:sz w:val="18"/>
              </w:rPr>
              <w:t xml:space="preserve">, </w:t>
            </w:r>
            <w:hyperlink r:id="rId27">
              <w:r>
                <w:rPr>
                  <w:color w:val="245A52"/>
                  <w:u w:val="single"/>
                </w:rPr>
                <w:t>[F09]</w:t>
              </w:r>
            </w:hyperlink>
            <w:r>
              <w:rPr>
                <w:sz w:val="18"/>
              </w:rPr>
              <w:t xml:space="preserve">, </w:t>
            </w:r>
            <w:hyperlink r:id="rId28">
              <w:r>
                <w:rPr>
                  <w:color w:val="245A52"/>
                  <w:u w:val="single"/>
                </w:rPr>
                <w:t>[T01]</w:t>
              </w:r>
            </w:hyperlink>
            <w:r>
              <w:rPr>
                <w:sz w:val="18"/>
              </w:rPr>
              <w:t xml:space="preserve">, </w:t>
            </w:r>
            <w:hyperlink r:id="rId29">
              <w:r>
                <w:rPr>
                  <w:color w:val="245A52"/>
                  <w:u w:val="single"/>
                </w:rPr>
                <w:t>[T02]</w:t>
              </w:r>
            </w:hyperlink>
            <w:r>
              <w:rPr>
                <w:sz w:val="18"/>
              </w:rPr>
              <w:t xml:space="preserve">, </w:t>
            </w:r>
            <w:hyperlink r:id="rId30">
              <w:r>
                <w:rPr>
                  <w:color w:val="245A52"/>
                  <w:u w:val="single"/>
                </w:rPr>
                <w:t>[T03]</w:t>
              </w:r>
            </w:hyperlink>
            <w:r>
              <w:rPr>
                <w:sz w:val="18"/>
              </w:rPr>
              <w:t xml:space="preserve">, </w:t>
            </w:r>
            <w:hyperlink r:id="rId31">
              <w:r>
                <w:rPr>
                  <w:color w:val="245A52"/>
                  <w:u w:val="single"/>
                </w:rPr>
                <w:t>[T04]</w:t>
              </w:r>
            </w:hyperlink>
            <w:r>
              <w:rPr>
                <w:sz w:val="18"/>
              </w:rPr>
              <w:t xml:space="preserve">, </w:t>
            </w:r>
            <w:hyperlink r:id="rId33">
              <w:r>
                <w:rPr>
                  <w:color w:val="245A52"/>
                  <w:u w:val="single"/>
                </w:rPr>
                <w:t>[T06]</w:t>
              </w:r>
            </w:hyperlink>
            <w:r>
              <w:rPr>
                <w:sz w:val="18"/>
              </w:rPr>
              <w:t xml:space="preserve">, </w:t>
            </w:r>
            <w:hyperlink r:id="rId34">
              <w:r>
                <w:rPr>
                  <w:color w:val="245A52"/>
                  <w:u w:val="single"/>
                </w:rPr>
                <w:t>[T07]</w:t>
              </w:r>
            </w:hyperlink>
          </w:p>
        </w:tc>
        <w:tc>
          <w:tcPr>
            <w:tcW w:type="dxa" w:w="2016"/>
            <w:vAlign w:val="center"/>
          </w:tcPr>
          <w:p>
            <w:pPr>
              <w:spacing w:after="60"/>
            </w:pPr>
            <w:r>
              <w:rPr>
                <w:sz w:val="18"/>
              </w:rPr>
              <w:t>Матрица не добавляет новых фактов: пустая ячейка означает, что источник не используется для этого утверждения, а не что он противоречит выводу.</w:t>
            </w:r>
          </w:p>
        </w:tc>
      </w:tr>
      <w:tr>
        <w:tc>
          <w:tcPr>
            <w:tcW w:type="dxa" w:w="792"/>
            <w:vAlign w:val="center"/>
          </w:tcPr>
          <w:p>
            <w:pPr>
              <w:spacing w:after="60"/>
            </w:pPr>
            <w:r>
              <w:rPr>
                <w:sz w:val="18"/>
              </w:rPr>
              <w:t>Научная схема 5</w:t>
            </w:r>
          </w:p>
        </w:tc>
        <w:tc>
          <w:tcPr>
            <w:tcW w:type="dxa" w:w="2016"/>
            <w:vAlign w:val="center"/>
          </w:tcPr>
          <w:p>
            <w:pPr>
              <w:spacing w:after="60"/>
            </w:pPr>
            <w:r>
              <w:rPr>
                <w:sz w:val="18"/>
              </w:rPr>
              <w:t>Лестница уверенности</w:t>
            </w:r>
          </w:p>
        </w:tc>
        <w:tc>
          <w:tcPr>
            <w:tcW w:type="dxa" w:w="2592"/>
            <w:vAlign w:val="center"/>
          </w:tcPr>
          <w:p>
            <w:pPr>
              <w:spacing w:after="60"/>
            </w:pPr>
            <w:r>
              <w:rPr>
                <w:sz w:val="18"/>
              </w:rPr>
              <w:t>Что известно твердо, что является рабочим выводом, а что остается открытым?</w:t>
            </w:r>
          </w:p>
        </w:tc>
        <w:tc>
          <w:tcPr>
            <w:tcW w:type="dxa" w:w="1728"/>
            <w:vAlign w:val="center"/>
          </w:tcPr>
          <w:p>
            <w:pPr>
              <w:spacing w:after="60"/>
            </w:pPr>
            <w:r>
              <w:rPr>
                <w:sz w:val="18"/>
              </w:rPr>
            </w:r>
            <w:hyperlink r:id="rId21">
              <w:r>
                <w:rPr>
                  <w:color w:val="245A52"/>
                  <w:u w:val="single"/>
                </w:rPr>
                <w:t>[F01]</w:t>
              </w:r>
            </w:hyperlink>
            <w:r>
              <w:rPr>
                <w:sz w:val="18"/>
              </w:rPr>
              <w:t xml:space="preserve">, </w:t>
            </w:r>
            <w:hyperlink r:id="rId22">
              <w:r>
                <w:rPr>
                  <w:color w:val="245A52"/>
                  <w:u w:val="single"/>
                </w:rPr>
                <w:t>[F02]</w:t>
              </w:r>
            </w:hyperlink>
            <w:r>
              <w:rPr>
                <w:sz w:val="18"/>
              </w:rPr>
              <w:t xml:space="preserve">, </w:t>
            </w:r>
            <w:hyperlink r:id="rId35">
              <w:r>
                <w:rPr>
                  <w:color w:val="245A52"/>
                  <w:u w:val="single"/>
                </w:rPr>
                <w:t>[F03]</w:t>
              </w:r>
            </w:hyperlink>
            <w:r>
              <w:rPr>
                <w:sz w:val="18"/>
              </w:rPr>
              <w:t xml:space="preserve">, </w:t>
            </w:r>
            <w:hyperlink r:id="rId23">
              <w:r>
                <w:rPr>
                  <w:color w:val="245A52"/>
                  <w:u w:val="single"/>
                </w:rPr>
                <w:t>[F05]</w:t>
              </w:r>
            </w:hyperlink>
            <w:r>
              <w:rPr>
                <w:sz w:val="18"/>
              </w:rPr>
              <w:t xml:space="preserve">, </w:t>
            </w:r>
            <w:hyperlink r:id="rId26">
              <w:r>
                <w:rPr>
                  <w:color w:val="245A52"/>
                  <w:u w:val="single"/>
                </w:rPr>
                <w:t>[F08]</w:t>
              </w:r>
            </w:hyperlink>
            <w:r>
              <w:rPr>
                <w:sz w:val="18"/>
              </w:rPr>
              <w:t xml:space="preserve">, </w:t>
            </w:r>
            <w:hyperlink r:id="rId27">
              <w:r>
                <w:rPr>
                  <w:color w:val="245A52"/>
                  <w:u w:val="single"/>
                </w:rPr>
                <w:t>[F09]</w:t>
              </w:r>
            </w:hyperlink>
            <w:r>
              <w:rPr>
                <w:sz w:val="18"/>
              </w:rPr>
              <w:t xml:space="preserve">, </w:t>
            </w:r>
            <w:hyperlink r:id="rId28">
              <w:r>
                <w:rPr>
                  <w:color w:val="245A52"/>
                  <w:u w:val="single"/>
                </w:rPr>
                <w:t>[T01]</w:t>
              </w:r>
            </w:hyperlink>
            <w:r>
              <w:rPr>
                <w:sz w:val="18"/>
              </w:rPr>
              <w:t xml:space="preserve">, </w:t>
            </w:r>
            <w:hyperlink r:id="rId29">
              <w:r>
                <w:rPr>
                  <w:color w:val="245A52"/>
                  <w:u w:val="single"/>
                </w:rPr>
                <w:t>[T02]</w:t>
              </w:r>
            </w:hyperlink>
            <w:r>
              <w:rPr>
                <w:sz w:val="18"/>
              </w:rPr>
              <w:t xml:space="preserve">, </w:t>
            </w:r>
            <w:hyperlink r:id="rId30">
              <w:r>
                <w:rPr>
                  <w:color w:val="245A52"/>
                  <w:u w:val="single"/>
                </w:rPr>
                <w:t>[T03]</w:t>
              </w:r>
            </w:hyperlink>
            <w:r>
              <w:rPr>
                <w:sz w:val="18"/>
              </w:rPr>
              <w:t xml:space="preserve">, </w:t>
            </w:r>
            <w:hyperlink r:id="rId31">
              <w:r>
                <w:rPr>
                  <w:color w:val="245A52"/>
                  <w:u w:val="single"/>
                </w:rPr>
                <w:t>[T04]</w:t>
              </w:r>
            </w:hyperlink>
            <w:r>
              <w:rPr>
                <w:sz w:val="18"/>
              </w:rPr>
              <w:t xml:space="preserve">, </w:t>
            </w:r>
            <w:hyperlink r:id="rId33">
              <w:r>
                <w:rPr>
                  <w:color w:val="245A52"/>
                  <w:u w:val="single"/>
                </w:rPr>
                <w:t>[T06]</w:t>
              </w:r>
            </w:hyperlink>
            <w:r>
              <w:rPr>
                <w:sz w:val="18"/>
              </w:rPr>
              <w:t xml:space="preserve">, </w:t>
            </w:r>
            <w:hyperlink r:id="rId34">
              <w:r>
                <w:rPr>
                  <w:color w:val="245A52"/>
                  <w:u w:val="single"/>
                </w:rPr>
                <w:t>[T07]</w:t>
              </w:r>
            </w:hyperlink>
          </w:p>
        </w:tc>
        <w:tc>
          <w:tcPr>
            <w:tcW w:type="dxa" w:w="2016"/>
            <w:vAlign w:val="center"/>
          </w:tcPr>
          <w:p>
            <w:pPr>
              <w:spacing w:after="60"/>
            </w:pPr>
            <w:r>
              <w:rPr>
                <w:sz w:val="18"/>
              </w:rPr>
              <w:t>Лестница не является финальным прогнозом: уровень уверенности зависит от прочитанных источников текущей доказательной базы, а новая локальная выборка может изменить нижние уровни.</w:t>
            </w:r>
          </w:p>
        </w:tc>
      </w:tr>
    </w:tbl>
    <w:p>
      <w:pPr>
        <w:pStyle w:val="Heading2"/>
      </w:pPr>
      <w:r>
        <w:t>Научная схема 1. Карта доказательств</w:t>
      </w:r>
    </w:p>
    <w:p>
      <w:r>
        <w:rPr>
          <w:b/>
        </w:rPr>
        <w:t xml:space="preserve">Вопрос: </w:t>
      </w:r>
      <w:r>
        <w:t>Какие источники поддерживают главные выводы отчета?</w:t>
      </w:r>
    </w:p>
    <w:p>
      <w:r>
        <w:rPr>
          <w:b/>
        </w:rPr>
        <w:t xml:space="preserve">Подпись: </w:t>
      </w:r>
      <w:r>
        <w:t>Детерминированная карта связывает основные выводы с прочитанными источниками и показывает силу связи.</w:t>
      </w:r>
    </w:p>
    <w:p>
      <w:r>
        <w:rPr>
          <w:b/>
        </w:rPr>
        <w:t xml:space="preserve">Оговорка: </w:t>
      </w:r>
      <w:r>
        <w:rPr>
          <w:i/>
          <w:color w:val="9C4A32"/>
        </w:rPr>
        <w:t>Схема не добавляет новых фактов: она только раскладывает уже проверенные источники и ограничения.</w:t>
      </w:r>
    </w:p>
    <w:p>
      <w:pPr>
        <w:pStyle w:val="ListBullet"/>
      </w:pPr>
      <w:r>
        <w:rPr>
          <w:b/>
        </w:rPr>
        <w:t>Nosopsyllus fasciatus удерживается в Ceratophyllidae, но родовая ревизия не закрыта.</w:t>
      </w:r>
      <w:r>
        <w:t xml:space="preserve"> - доказано с ограничением. Ограничение: Не заменяет закрытую первичную статью Zurita et al. 2018.. Источники: </w:t>
      </w:r>
      <w:hyperlink r:id="rId21">
        <w:r>
          <w:rPr>
            <w:color w:val="245A52"/>
            <w:u w:val="single"/>
          </w:rPr>
          <w:t>[F01]</w:t>
        </w:r>
      </w:hyperlink>
      <w:r>
        <w:t xml:space="preserve">, </w:t>
      </w:r>
      <w:hyperlink r:id="rId22">
        <w:r>
          <w:rPr>
            <w:color w:val="245A52"/>
            <w:u w:val="single"/>
          </w:rPr>
          <w:t>[F02]</w:t>
        </w:r>
      </w:hyperlink>
      <w:r>
        <w:t xml:space="preserve">, </w:t>
      </w:r>
      <w:hyperlink r:id="rId27">
        <w:r>
          <w:rPr>
            <w:color w:val="245A52"/>
            <w:u w:val="single"/>
          </w:rPr>
          <w:t>[F09]</w:t>
        </w:r>
      </w:hyperlink>
    </w:p>
    <w:p>
      <w:pPr>
        <w:pStyle w:val="ListBullet"/>
      </w:pPr>
      <w:r>
        <w:rPr>
          <w:b/>
        </w:rPr>
        <w:t>Широкое Hystrichopsyllidae проблемно; ревизия нужна по родам.</w:t>
      </w:r>
      <w:r>
        <w:t xml:space="preserve"> - доказано. Ограничение: Схема не предлагает новую финальную классификацию всех родов.. Источники: </w:t>
      </w:r>
      <w:hyperlink r:id="rId21">
        <w:r>
          <w:rPr>
            <w:color w:val="245A52"/>
            <w:u w:val="single"/>
          </w:rPr>
          <w:t>[F01]</w:t>
        </w:r>
      </w:hyperlink>
      <w:r>
        <w:t xml:space="preserve">, </w:t>
      </w:r>
      <w:hyperlink r:id="rId23">
        <w:r>
          <w:rPr>
            <w:color w:val="245A52"/>
            <w:u w:val="single"/>
          </w:rPr>
          <w:t>[F05]</w:t>
        </w:r>
      </w:hyperlink>
      <w:r>
        <w:t xml:space="preserve">, </w:t>
      </w:r>
      <w:hyperlink r:id="rId24">
        <w:r>
          <w:rPr>
            <w:color w:val="245A52"/>
            <w:u w:val="single"/>
          </w:rPr>
          <w:t>[F06]</w:t>
        </w:r>
      </w:hyperlink>
      <w:r>
        <w:t xml:space="preserve">, </w:t>
      </w:r>
      <w:hyperlink r:id="rId25">
        <w:r>
          <w:rPr>
            <w:color w:val="245A52"/>
            <w:u w:val="single"/>
          </w:rPr>
          <w:t>[F07]</w:t>
        </w:r>
      </w:hyperlink>
      <w:r>
        <w:t xml:space="preserve">, </w:t>
      </w:r>
      <w:hyperlink r:id="rId26">
        <w:r>
          <w:rPr>
            <w:color w:val="245A52"/>
            <w:u w:val="single"/>
          </w:rPr>
          <w:t>[F08]</w:t>
        </w:r>
      </w:hyperlink>
    </w:p>
    <w:p>
      <w:pPr>
        <w:pStyle w:val="ListBullet"/>
      </w:pPr>
      <w:r>
        <w:rPr>
          <w:b/>
        </w:rPr>
        <w:t>H. detritum ведется осторожно как историческое/синонимическое имя внутри H. scupense s.l.</w:t>
      </w:r>
      <w:r>
        <w:t xml:space="preserve"> - доказано. Ограничение: Экологическая форма сама по себе не равна отдельному виду.. Источники: </w:t>
      </w:r>
      <w:hyperlink r:id="rId28">
        <w:r>
          <w:rPr>
            <w:color w:val="245A52"/>
            <w:u w:val="single"/>
          </w:rPr>
          <w:t>[T01]</w:t>
        </w:r>
      </w:hyperlink>
      <w:r>
        <w:t xml:space="preserve">, </w:t>
      </w:r>
      <w:hyperlink r:id="rId29">
        <w:r>
          <w:rPr>
            <w:color w:val="245A52"/>
            <w:u w:val="single"/>
          </w:rPr>
          <w:t>[T02]</w:t>
        </w:r>
      </w:hyperlink>
      <w:r>
        <w:t xml:space="preserve">, </w:t>
      </w:r>
      <w:hyperlink r:id="rId32">
        <w:r>
          <w:rPr>
            <w:color w:val="245A52"/>
            <w:u w:val="single"/>
          </w:rPr>
          <w:t>[T05]</w:t>
        </w:r>
      </w:hyperlink>
    </w:p>
    <w:p>
      <w:pPr>
        <w:pStyle w:val="ListBullet"/>
      </w:pPr>
      <w:r>
        <w:rPr>
          <w:b/>
        </w:rPr>
        <w:t>Две формы для Закавказья остаются рабочей гипотезой, а не локально доказанным фактом.</w:t>
      </w:r>
      <w:r>
        <w:t xml:space="preserve"> - рабочая гипотеза. Ограничение: Нужны локальные сборы по хозяевам, высоте, сезону и маркерам.. Источники: </w:t>
      </w:r>
      <w:hyperlink r:id="rId30">
        <w:r>
          <w:rPr>
            <w:color w:val="245A52"/>
            <w:u w:val="single"/>
          </w:rPr>
          <w:t>[T03]</w:t>
        </w:r>
      </w:hyperlink>
      <w:r>
        <w:t xml:space="preserve">, </w:t>
      </w:r>
      <w:hyperlink r:id="rId31">
        <w:r>
          <w:rPr>
            <w:color w:val="245A52"/>
            <w:u w:val="single"/>
          </w:rPr>
          <w:t>[T04]</w:t>
        </w:r>
      </w:hyperlink>
      <w:r>
        <w:t xml:space="preserve">, </w:t>
      </w:r>
      <w:hyperlink r:id="rId33">
        <w:r>
          <w:rPr>
            <w:color w:val="245A52"/>
            <w:u w:val="single"/>
          </w:rPr>
          <w:t>[T06]</w:t>
        </w:r>
      </w:hyperlink>
      <w:r>
        <w:t xml:space="preserve">, </w:t>
      </w:r>
      <w:hyperlink r:id="rId34">
        <w:r>
          <w:rPr>
            <w:color w:val="245A52"/>
            <w:u w:val="single"/>
          </w:rPr>
          <w:t>[T07]</w:t>
        </w:r>
      </w:hyperlink>
    </w:p>
    <w:p>
      <w:pPr>
        <w:pStyle w:val="Heading2"/>
      </w:pPr>
      <w:r>
        <w:t>Научная схема 2. Таксономическая схема H. scupense / H. detritum</w:t>
      </w:r>
    </w:p>
    <w:p>
      <w:r>
        <w:rPr>
          <w:b/>
        </w:rPr>
        <w:t xml:space="preserve">Вопрос: </w:t>
      </w:r>
      <w:r>
        <w:t>Почему H. detritum не ведется как чистый отдельный вид?</w:t>
      </w:r>
    </w:p>
    <w:p>
      <w:r>
        <w:rPr>
          <w:b/>
        </w:rPr>
        <w:t xml:space="preserve">Подпись: </w:t>
      </w:r>
      <w:r>
        <w:t>Схема показывает переход от исторического экологического разделения к рабочей записи H. scupense s.l.</w:t>
      </w:r>
    </w:p>
    <w:p>
      <w:r>
        <w:rPr>
          <w:b/>
        </w:rPr>
        <w:t xml:space="preserve">Оговорка: </w:t>
      </w:r>
      <w:r>
        <w:rPr>
          <w:i/>
          <w:color w:val="9C4A32"/>
        </w:rPr>
        <w:t>Схема фиксирует логику отчета; она не является новой номенклатурной ревизией.</w:t>
      </w:r>
    </w:p>
    <w:p>
      <w:pPr>
        <w:pStyle w:val="ListNumber"/>
      </w:pPr>
      <w:r>
        <w:rPr>
          <w:b/>
        </w:rPr>
        <w:t xml:space="preserve">Историческое разделение имен: </w:t>
      </w:r>
      <w:r>
        <w:t xml:space="preserve">Старое различение опиралось на экологический критерий: H. scupense как однохозяинный, H. detritum как двуххозяинный клещ. Статус: историческая рамка. Источники: </w:t>
      </w:r>
      <w:hyperlink r:id="rId28">
        <w:r>
          <w:rPr>
            <w:color w:val="245A52"/>
            <w:u w:val="single"/>
          </w:rPr>
          <w:t>[T01]</w:t>
        </w:r>
      </w:hyperlink>
    </w:p>
    <w:p>
      <w:pPr>
        <w:pStyle w:val="ListNumber"/>
      </w:pPr>
      <w:r>
        <w:rPr>
          <w:b/>
        </w:rPr>
        <w:t xml:space="preserve">Морфологическая трудность: </w:t>
      </w:r>
      <w:r>
        <w:t xml:space="preserve">Морфологически формы признаны идентичными или трудноразделимыми, поэтому один жизненный цикл не закрывает видовой статус. Статус: ключевое ограничение. Источники: </w:t>
      </w:r>
      <w:hyperlink r:id="rId28">
        <w:r>
          <w:rPr>
            <w:color w:val="245A52"/>
            <w:u w:val="single"/>
          </w:rPr>
          <w:t>[T01]</w:t>
        </w:r>
      </w:hyperlink>
      <w:r>
        <w:t xml:space="preserve">, </w:t>
      </w:r>
      <w:hyperlink r:id="rId29">
        <w:r>
          <w:rPr>
            <w:color w:val="245A52"/>
            <w:u w:val="single"/>
          </w:rPr>
          <w:t>[T02]</w:t>
        </w:r>
      </w:hyperlink>
    </w:p>
    <w:p>
      <w:pPr>
        <w:pStyle w:val="ListNumber"/>
      </w:pPr>
      <w:r>
        <w:rPr>
          <w:b/>
        </w:rPr>
        <w:t xml:space="preserve">Типовые серии и синонимия: </w:t>
      </w:r>
      <w:r>
        <w:t xml:space="preserve">Переисследование типовых серий и редескрипция поддерживают синонимию H. detritum с H. scupense. Статус: рабочее доказательство. Источники: </w:t>
      </w:r>
      <w:hyperlink r:id="rId28">
        <w:r>
          <w:rPr>
            <w:color w:val="245A52"/>
            <w:u w:val="single"/>
          </w:rPr>
          <w:t>[T01]</w:t>
        </w:r>
      </w:hyperlink>
      <w:r>
        <w:t xml:space="preserve">, </w:t>
      </w:r>
      <w:hyperlink r:id="rId29">
        <w:r>
          <w:rPr>
            <w:color w:val="245A52"/>
            <w:u w:val="single"/>
          </w:rPr>
          <w:t>[T02]</w:t>
        </w:r>
      </w:hyperlink>
    </w:p>
    <w:p>
      <w:pPr>
        <w:pStyle w:val="ListNumber"/>
      </w:pPr>
      <w:r>
        <w:rPr>
          <w:b/>
        </w:rPr>
        <w:t xml:space="preserve">Региональная и молекулярная неоднородность: </w:t>
      </w:r>
      <w:r>
        <w:t xml:space="preserve">Корсика и Казахстан показывают региональные популяции и генетический контекст, но не доказывают отдельный вид H. detritum. Статус: контекст, не разделение вида. Источники: </w:t>
      </w:r>
      <w:hyperlink r:id="rId32">
        <w:r>
          <w:rPr>
            <w:color w:val="245A52"/>
            <w:u w:val="single"/>
          </w:rPr>
          <w:t>[T05]</w:t>
        </w:r>
      </w:hyperlink>
      <w:r>
        <w:t xml:space="preserve">, </w:t>
      </w:r>
      <w:hyperlink r:id="rId33">
        <w:r>
          <w:rPr>
            <w:color w:val="245A52"/>
            <w:u w:val="single"/>
          </w:rPr>
          <w:t>[T06]</w:t>
        </w:r>
      </w:hyperlink>
    </w:p>
    <w:p>
      <w:pPr>
        <w:pStyle w:val="ListNumber"/>
      </w:pPr>
      <w:r>
        <w:rPr>
          <w:b/>
        </w:rPr>
        <w:t xml:space="preserve">Итоговая рабочая запись: </w:t>
      </w:r>
      <w:r>
        <w:t xml:space="preserve">Используем H. scupense s.l.; H. detritum упоминаем как историческое/региональное имя, если источник так назвал материал. Статус: принятая формулировка отчета. Источники: </w:t>
      </w:r>
      <w:hyperlink r:id="rId28">
        <w:r>
          <w:rPr>
            <w:color w:val="245A52"/>
            <w:u w:val="single"/>
          </w:rPr>
          <w:t>[T01]</w:t>
        </w:r>
      </w:hyperlink>
      <w:r>
        <w:t xml:space="preserve">, </w:t>
      </w:r>
      <w:hyperlink r:id="rId29">
        <w:r>
          <w:rPr>
            <w:color w:val="245A52"/>
            <w:u w:val="single"/>
          </w:rPr>
          <w:t>[T02]</w:t>
        </w:r>
      </w:hyperlink>
      <w:r>
        <w:t xml:space="preserve">, </w:t>
      </w:r>
      <w:hyperlink r:id="rId34">
        <w:r>
          <w:rPr>
            <w:color w:val="245A52"/>
            <w:u w:val="single"/>
          </w:rPr>
          <w:t>[T07]</w:t>
        </w:r>
      </w:hyperlink>
    </w:p>
    <w:p>
      <w:pPr>
        <w:pStyle w:val="Heading2"/>
      </w:pPr>
      <w:r>
        <w:t>Научная схема 3. Сравнение экологических форм H. scupense s.l.</w:t>
      </w:r>
    </w:p>
    <w:p>
      <w:r>
        <w:rPr>
          <w:b/>
        </w:rPr>
        <w:t xml:space="preserve">Вопрос: </w:t>
      </w:r>
      <w:r>
        <w:t>Чем отличаются обсуждаемые экологические формы и где граница доказанного?</w:t>
      </w:r>
    </w:p>
    <w:p>
      <w:r>
        <w:rPr>
          <w:b/>
        </w:rPr>
        <w:t xml:space="preserve">Подпись: </w:t>
      </w:r>
      <w:r>
        <w:t>Таблица разделяет документированные формы, контекстные данные и гипотезу для Закавказья.</w:t>
      </w:r>
    </w:p>
    <w:p>
      <w:r>
        <w:rPr>
          <w:b/>
        </w:rPr>
        <w:t xml:space="preserve">Оговорка: </w:t>
      </w:r>
      <w:r>
        <w:rPr>
          <w:i/>
          <w:color w:val="9C4A32"/>
        </w:rPr>
        <w:t>Сравнение не переносит автоматически данные Магриба, Туниса, Китая или Казахстана на Азербайджан.</w:t>
      </w:r>
    </w:p>
    <w:tbl>
      <w:tblPr>
        <w:tblStyle w:val="TableGrid"/>
        <w:tblW w:type="auto" w:w="0"/>
        <w:jc w:val="center"/>
        <w:tblLayout w:type="fixed"/>
        <w:tblLook w:firstColumn="1" w:firstRow="1" w:lastColumn="0" w:lastRow="0" w:noHBand="0" w:noVBand="1" w:val="04A0"/>
      </w:tblPr>
      <w:tblGrid>
        <w:gridCol w:w="1872"/>
        <w:gridCol w:w="1872"/>
        <w:gridCol w:w="1872"/>
        <w:gridCol w:w="1872"/>
        <w:gridCol w:w="1872"/>
      </w:tblGrid>
      <w:tr>
        <w:tc>
          <w:tcPr>
            <w:tcW w:type="dxa" w:w="2232"/>
            <w:vAlign w:val="center"/>
            <w:shd w:fill="EEF3F0"/>
          </w:tcPr>
          <w:p>
            <w:pPr>
              <w:spacing w:after="60"/>
            </w:pPr>
            <w:r>
              <w:rPr>
                <w:b/>
                <w:color w:val="1F4D78"/>
                <w:sz w:val="18"/>
              </w:rPr>
              <w:t>Форма</w:t>
            </w:r>
          </w:p>
        </w:tc>
        <w:tc>
          <w:tcPr>
            <w:tcW w:type="dxa" w:w="2232"/>
            <w:vAlign w:val="center"/>
            <w:shd w:fill="EEF3F0"/>
          </w:tcPr>
          <w:p>
            <w:pPr>
              <w:spacing w:after="60"/>
            </w:pPr>
            <w:r>
              <w:rPr>
                <w:b/>
                <w:color w:val="1F4D78"/>
                <w:sz w:val="18"/>
              </w:rPr>
              <w:t>Цикл / сезон</w:t>
            </w:r>
          </w:p>
        </w:tc>
        <w:tc>
          <w:tcPr>
            <w:tcW w:type="dxa" w:w="1656"/>
            <w:vAlign w:val="center"/>
            <w:shd w:fill="EEF3F0"/>
          </w:tcPr>
          <w:p>
            <w:pPr>
              <w:spacing w:after="60"/>
            </w:pPr>
            <w:r>
              <w:rPr>
                <w:b/>
                <w:color w:val="1F4D78"/>
                <w:sz w:val="18"/>
              </w:rPr>
              <w:t>География</w:t>
            </w:r>
          </w:p>
        </w:tc>
        <w:tc>
          <w:tcPr>
            <w:tcW w:type="dxa" w:w="2376"/>
            <w:vAlign w:val="center"/>
            <w:shd w:fill="EEF3F0"/>
          </w:tcPr>
          <w:p>
            <w:pPr>
              <w:spacing w:after="60"/>
            </w:pPr>
            <w:r>
              <w:rPr>
                <w:b/>
                <w:color w:val="1F4D78"/>
                <w:sz w:val="18"/>
              </w:rPr>
              <w:t>Статус</w:t>
            </w:r>
          </w:p>
        </w:tc>
        <w:tc>
          <w:tcPr>
            <w:tcW w:type="dxa" w:w="1152"/>
            <w:vAlign w:val="center"/>
            <w:shd w:fill="EEF3F0"/>
          </w:tcPr>
          <w:p>
            <w:pPr>
              <w:spacing w:after="60"/>
            </w:pPr>
            <w:r>
              <w:rPr>
                <w:b/>
                <w:color w:val="1F4D78"/>
                <w:sz w:val="18"/>
              </w:rPr>
              <w:t>Источники</w:t>
            </w:r>
          </w:p>
        </w:tc>
      </w:tr>
      <w:tr>
        <w:tc>
          <w:tcPr>
            <w:tcW w:type="dxa" w:w="2232"/>
            <w:vAlign w:val="center"/>
          </w:tcPr>
          <w:p>
            <w:pPr>
              <w:spacing w:after="60"/>
            </w:pPr>
            <w:r>
              <w:rPr>
                <w:sz w:val="18"/>
              </w:rPr>
              <w:t>Южная / Магрибская двуххозяинная форма</w:t>
            </w:r>
          </w:p>
        </w:tc>
        <w:tc>
          <w:tcPr>
            <w:tcW w:type="dxa" w:w="2232"/>
            <w:vAlign w:val="center"/>
          </w:tcPr>
          <w:p>
            <w:pPr>
              <w:spacing w:after="60"/>
            </w:pPr>
            <w:r>
              <w:rPr>
                <w:sz w:val="18"/>
              </w:rPr>
              <w:t>двуххозяинная, эндофильная; привязана к скоту и помещениям</w:t>
            </w:r>
          </w:p>
        </w:tc>
        <w:tc>
          <w:tcPr>
            <w:tcW w:type="dxa" w:w="1656"/>
            <w:vAlign w:val="center"/>
          </w:tcPr>
          <w:p>
            <w:pPr>
              <w:spacing w:after="60"/>
            </w:pPr>
            <w:r>
              <w:rPr>
                <w:sz w:val="18"/>
              </w:rPr>
              <w:t>Магриб, Тунис</w:t>
            </w:r>
          </w:p>
        </w:tc>
        <w:tc>
          <w:tcPr>
            <w:tcW w:type="dxa" w:w="2376"/>
            <w:vAlign w:val="center"/>
          </w:tcPr>
          <w:p>
            <w:pPr>
              <w:spacing w:after="60"/>
            </w:pPr>
            <w:r>
              <w:rPr>
                <w:sz w:val="18"/>
              </w:rPr>
              <w:t>документировано для региона источников. не является локальным доказательством Закавказья</w:t>
            </w:r>
          </w:p>
        </w:tc>
        <w:tc>
          <w:tcPr>
            <w:tcW w:type="dxa" w:w="1152"/>
            <w:vAlign w:val="center"/>
          </w:tcPr>
          <w:p>
            <w:pPr>
              <w:spacing w:after="60"/>
            </w:pPr>
            <w:r>
              <w:rPr>
                <w:sz w:val="18"/>
              </w:rPr>
            </w:r>
            <w:hyperlink r:id="rId30">
              <w:r>
                <w:rPr>
                  <w:color w:val="245A52"/>
                  <w:u w:val="single"/>
                </w:rPr>
                <w:t>[T03]</w:t>
              </w:r>
            </w:hyperlink>
            <w:r>
              <w:rPr>
                <w:sz w:val="18"/>
              </w:rPr>
              <w:t xml:space="preserve">, </w:t>
            </w:r>
            <w:hyperlink r:id="rId31">
              <w:r>
                <w:rPr>
                  <w:color w:val="245A52"/>
                  <w:u w:val="single"/>
                </w:rPr>
                <w:t>[T04]</w:t>
              </w:r>
            </w:hyperlink>
          </w:p>
        </w:tc>
      </w:tr>
      <w:tr>
        <w:tc>
          <w:tcPr>
            <w:tcW w:type="dxa" w:w="2232"/>
            <w:vAlign w:val="center"/>
          </w:tcPr>
          <w:p>
            <w:pPr>
              <w:spacing w:after="60"/>
            </w:pPr>
            <w:r>
              <w:rPr>
                <w:sz w:val="18"/>
              </w:rPr>
              <w:t>Северная / холодоадаптированная однохозяинная форма</w:t>
            </w:r>
          </w:p>
        </w:tc>
        <w:tc>
          <w:tcPr>
            <w:tcW w:type="dxa" w:w="2232"/>
            <w:vAlign w:val="center"/>
          </w:tcPr>
          <w:p>
            <w:pPr>
              <w:spacing w:after="60"/>
            </w:pPr>
            <w:r>
              <w:rPr>
                <w:sz w:val="18"/>
              </w:rPr>
              <w:t>однохозяинная по сообщениям обзора; связана с холодоадаптированным экотипом</w:t>
            </w:r>
          </w:p>
        </w:tc>
        <w:tc>
          <w:tcPr>
            <w:tcW w:type="dxa" w:w="1656"/>
            <w:vAlign w:val="center"/>
          </w:tcPr>
          <w:p>
            <w:pPr>
              <w:spacing w:after="60"/>
            </w:pPr>
            <w:r>
              <w:rPr>
                <w:sz w:val="18"/>
              </w:rPr>
              <w:t>не локализуется этим отчетом до Азербайджана</w:t>
            </w:r>
          </w:p>
        </w:tc>
        <w:tc>
          <w:tcPr>
            <w:tcW w:type="dxa" w:w="2376"/>
            <w:vAlign w:val="center"/>
          </w:tcPr>
          <w:p>
            <w:pPr>
              <w:spacing w:after="60"/>
            </w:pPr>
            <w:r>
              <w:rPr>
                <w:sz w:val="18"/>
              </w:rPr>
              <w:t>контекстно описано. требует прямой региональной проверки</w:t>
            </w:r>
          </w:p>
        </w:tc>
        <w:tc>
          <w:tcPr>
            <w:tcW w:type="dxa" w:w="1152"/>
            <w:vAlign w:val="center"/>
          </w:tcPr>
          <w:p>
            <w:pPr>
              <w:spacing w:after="60"/>
            </w:pPr>
            <w:r>
              <w:rPr>
                <w:sz w:val="18"/>
              </w:rPr>
            </w:r>
            <w:hyperlink r:id="rId31">
              <w:r>
                <w:rPr>
                  <w:color w:val="245A52"/>
                  <w:u w:val="single"/>
                </w:rPr>
                <w:t>[T04]</w:t>
              </w:r>
            </w:hyperlink>
          </w:p>
        </w:tc>
      </w:tr>
      <w:tr>
        <w:tc>
          <w:tcPr>
            <w:tcW w:type="dxa" w:w="2232"/>
            <w:vAlign w:val="center"/>
          </w:tcPr>
          <w:p>
            <w:pPr>
              <w:spacing w:after="60"/>
            </w:pPr>
            <w:r>
              <w:rPr>
                <w:sz w:val="18"/>
              </w:rPr>
              <w:t>Лабораторная / литературная пластичность</w:t>
            </w:r>
          </w:p>
        </w:tc>
        <w:tc>
          <w:tcPr>
            <w:tcW w:type="dxa" w:w="2232"/>
            <w:vAlign w:val="center"/>
          </w:tcPr>
          <w:p>
            <w:pPr>
              <w:spacing w:after="60"/>
            </w:pPr>
            <w:r>
              <w:rPr>
                <w:sz w:val="18"/>
              </w:rPr>
              <w:t>возможны варианты цикла; не равна полевой фенологии</w:t>
            </w:r>
          </w:p>
        </w:tc>
        <w:tc>
          <w:tcPr>
            <w:tcW w:type="dxa" w:w="1656"/>
            <w:vAlign w:val="center"/>
          </w:tcPr>
          <w:p>
            <w:pPr>
              <w:spacing w:after="60"/>
            </w:pPr>
            <w:r>
              <w:rPr>
                <w:sz w:val="18"/>
              </w:rPr>
              <w:t>Тунис, Китай как сравнительный контекст</w:t>
            </w:r>
          </w:p>
        </w:tc>
        <w:tc>
          <w:tcPr>
            <w:tcW w:type="dxa" w:w="2376"/>
            <w:vAlign w:val="center"/>
          </w:tcPr>
          <w:p>
            <w:pPr>
              <w:spacing w:after="60"/>
            </w:pPr>
            <w:r>
              <w:rPr>
                <w:sz w:val="18"/>
              </w:rPr>
              <w:t>поддерживает пластичность. не доказывает две локальные формы</w:t>
            </w:r>
          </w:p>
        </w:tc>
        <w:tc>
          <w:tcPr>
            <w:tcW w:type="dxa" w:w="1152"/>
            <w:vAlign w:val="center"/>
          </w:tcPr>
          <w:p>
            <w:pPr>
              <w:spacing w:after="60"/>
            </w:pPr>
            <w:r>
              <w:rPr>
                <w:sz w:val="18"/>
              </w:rPr>
            </w:r>
            <w:hyperlink r:id="rId31">
              <w:r>
                <w:rPr>
                  <w:color w:val="245A52"/>
                  <w:u w:val="single"/>
                </w:rPr>
                <w:t>[T04]</w:t>
              </w:r>
            </w:hyperlink>
          </w:p>
        </w:tc>
      </w:tr>
      <w:tr>
        <w:tc>
          <w:tcPr>
            <w:tcW w:type="dxa" w:w="2232"/>
            <w:vAlign w:val="center"/>
          </w:tcPr>
          <w:p>
            <w:pPr>
              <w:spacing w:after="60"/>
            </w:pPr>
            <w:r>
              <w:rPr>
                <w:sz w:val="18"/>
              </w:rPr>
              <w:t>Нахчыванская сезонно-пастбищная форма</w:t>
            </w:r>
          </w:p>
        </w:tc>
        <w:tc>
          <w:tcPr>
            <w:tcW w:type="dxa" w:w="2232"/>
            <w:vAlign w:val="center"/>
          </w:tcPr>
          <w:p>
            <w:pPr>
              <w:spacing w:after="60"/>
            </w:pPr>
            <w:r>
              <w:rPr>
                <w:sz w:val="18"/>
              </w:rPr>
              <w:t>число хозяев не проверено напрямую; имаго май-август; личинки/нимфы конец августа-сентябрь</w:t>
            </w:r>
          </w:p>
        </w:tc>
        <w:tc>
          <w:tcPr>
            <w:tcW w:type="dxa" w:w="1656"/>
            <w:vAlign w:val="center"/>
          </w:tcPr>
          <w:p>
            <w:pPr>
              <w:spacing w:after="60"/>
            </w:pPr>
            <w:r>
              <w:rPr>
                <w:sz w:val="18"/>
              </w:rPr>
              <w:t>Нахчыван, Азербайджан</w:t>
            </w:r>
          </w:p>
        </w:tc>
        <w:tc>
          <w:tcPr>
            <w:tcW w:type="dxa" w:w="2376"/>
            <w:vAlign w:val="center"/>
          </w:tcPr>
          <w:p>
            <w:pPr>
              <w:spacing w:after="60"/>
            </w:pPr>
            <w:r>
              <w:rPr>
                <w:sz w:val="18"/>
              </w:rPr>
              <w:t>локально документировано как минимум одно проявление. не доказывает вторую форму и не закрывает жизненный цикл</w:t>
            </w:r>
          </w:p>
        </w:tc>
        <w:tc>
          <w:tcPr>
            <w:tcW w:type="dxa" w:w="1152"/>
            <w:vAlign w:val="center"/>
          </w:tcPr>
          <w:p>
            <w:pPr>
              <w:spacing w:after="60"/>
            </w:pPr>
            <w:r>
              <w:rPr>
                <w:sz w:val="18"/>
              </w:rPr>
            </w:r>
            <w:hyperlink r:id="rId34">
              <w:r>
                <w:rPr>
                  <w:color w:val="245A52"/>
                  <w:u w:val="single"/>
                </w:rPr>
                <w:t>[T07]</w:t>
              </w:r>
            </w:hyperlink>
            <w:r>
              <w:rPr>
                <w:sz w:val="18"/>
              </w:rPr>
              <w:t xml:space="preserve">, </w:t>
            </w:r>
            <w:hyperlink r:id="rId28">
              <w:r>
                <w:rPr>
                  <w:color w:val="245A52"/>
                  <w:u w:val="single"/>
                </w:rPr>
                <w:t>[T01]</w:t>
              </w:r>
            </w:hyperlink>
            <w:r>
              <w:rPr>
                <w:sz w:val="18"/>
              </w:rPr>
              <w:t xml:space="preserve">, </w:t>
            </w:r>
            <w:hyperlink r:id="rId29">
              <w:r>
                <w:rPr>
                  <w:color w:val="245A52"/>
                  <w:u w:val="single"/>
                </w:rPr>
                <w:t>[T02]</w:t>
              </w:r>
            </w:hyperlink>
          </w:p>
        </w:tc>
      </w:tr>
    </w:tbl>
    <w:p>
      <w:pPr>
        <w:pStyle w:val="Heading2"/>
      </w:pPr>
      <w:r>
        <w:t>Научная схема 4. Матрица источников и тезисов</w:t>
      </w:r>
    </w:p>
    <w:p>
      <w:r>
        <w:rPr>
          <w:b/>
        </w:rPr>
        <w:t xml:space="preserve">Вопрос: </w:t>
      </w:r>
      <w:r>
        <w:t>Какие источники доказывают, поддерживают или ограничивают ключевые утверждения?</w:t>
      </w:r>
    </w:p>
    <w:p>
      <w:r>
        <w:rPr>
          <w:b/>
        </w:rPr>
        <w:t xml:space="preserve">Подпись: </w:t>
      </w:r>
      <w:r>
        <w:t>Матрица показывает роль ключевых источников в каждом утверждении: доказательство, поддержка, контекст или ограничение.</w:t>
      </w:r>
    </w:p>
    <w:p>
      <w:r>
        <w:rPr>
          <w:b/>
        </w:rPr>
        <w:t xml:space="preserve">Оговорка: </w:t>
      </w:r>
      <w:r>
        <w:rPr>
          <w:i/>
          <w:color w:val="9C4A32"/>
        </w:rPr>
        <w:t>Матрица не добавляет новых фактов: пустая ячейка означает, что источник не используется для этого утверждения, а не что он противоречит выводу.</w:t>
      </w:r>
    </w:p>
    <w:tbl>
      <w:tblPr>
        <w:tblStyle w:val="TableGrid"/>
        <w:tblW w:type="auto" w:w="0"/>
        <w:jc w:val="center"/>
        <w:tblLayout w:type="fixed"/>
        <w:tblLook w:firstColumn="1" w:firstRow="1" w:lastColumn="0" w:lastRow="0" w:noHBand="0" w:noVBand="1" w:val="04A0"/>
      </w:tblPr>
      <w:tblGrid>
        <w:gridCol w:w="1872"/>
        <w:gridCol w:w="1872"/>
        <w:gridCol w:w="1872"/>
        <w:gridCol w:w="1872"/>
        <w:gridCol w:w="1872"/>
      </w:tblGrid>
      <w:tr>
        <w:tc>
          <w:tcPr>
            <w:tcW w:type="dxa" w:w="3024"/>
            <w:vAlign w:val="center"/>
            <w:shd w:fill="E8EEF5"/>
          </w:tcPr>
          <w:p>
            <w:pPr>
              <w:spacing w:after="60"/>
            </w:pPr>
            <w:r>
              <w:rPr>
                <w:b/>
                <w:color w:val="1F4D78"/>
                <w:sz w:val="18"/>
              </w:rPr>
              <w:t>Тезис</w:t>
            </w:r>
          </w:p>
        </w:tc>
        <w:tc>
          <w:tcPr>
            <w:tcW w:type="dxa" w:w="1512"/>
            <w:vAlign w:val="center"/>
            <w:shd w:fill="E8EEF5"/>
          </w:tcPr>
          <w:p>
            <w:pPr>
              <w:spacing w:after="60"/>
            </w:pPr>
            <w:r>
              <w:rPr>
                <w:b/>
                <w:color w:val="1F4D78"/>
                <w:sz w:val="18"/>
              </w:rPr>
              <w:t>Доказывает</w:t>
            </w:r>
          </w:p>
        </w:tc>
        <w:tc>
          <w:tcPr>
            <w:tcW w:type="dxa" w:w="1512"/>
            <w:vAlign w:val="center"/>
            <w:shd w:fill="E8EEF5"/>
          </w:tcPr>
          <w:p>
            <w:pPr>
              <w:spacing w:after="60"/>
            </w:pPr>
            <w:r>
              <w:rPr>
                <w:b/>
                <w:color w:val="1F4D78"/>
                <w:sz w:val="18"/>
              </w:rPr>
              <w:t>Поддерживает</w:t>
            </w:r>
          </w:p>
        </w:tc>
        <w:tc>
          <w:tcPr>
            <w:tcW w:type="dxa" w:w="1512"/>
            <w:vAlign w:val="center"/>
            <w:shd w:fill="E8EEF5"/>
          </w:tcPr>
          <w:p>
            <w:pPr>
              <w:spacing w:after="60"/>
            </w:pPr>
            <w:r>
              <w:rPr>
                <w:b/>
                <w:color w:val="1F4D78"/>
                <w:sz w:val="18"/>
              </w:rPr>
              <w:t>Контекст</w:t>
            </w:r>
          </w:p>
        </w:tc>
        <w:tc>
          <w:tcPr>
            <w:tcW w:type="dxa" w:w="1512"/>
            <w:vAlign w:val="center"/>
            <w:shd w:fill="E8EEF5"/>
          </w:tcPr>
          <w:p>
            <w:pPr>
              <w:spacing w:after="60"/>
            </w:pPr>
            <w:r>
              <w:rPr>
                <w:b/>
                <w:color w:val="1F4D78"/>
                <w:sz w:val="18"/>
              </w:rPr>
              <w:t>Ограничивает</w:t>
            </w:r>
          </w:p>
        </w:tc>
      </w:tr>
      <w:tr>
        <w:tc>
          <w:tcPr>
            <w:tcW w:type="dxa" w:w="3024"/>
            <w:vAlign w:val="center"/>
          </w:tcPr>
          <w:p>
            <w:pPr>
              <w:spacing w:after="60"/>
            </w:pPr>
            <w:r>
              <w:rPr>
                <w:sz w:val="18"/>
              </w:rPr>
              <w:t>N. fasciatus удерживается в Ceratophyllidae.</w:t>
            </w:r>
          </w:p>
        </w:tc>
        <w:tc>
          <w:tcPr>
            <w:tcW w:type="dxa" w:w="1512"/>
            <w:vAlign w:val="center"/>
          </w:tcPr>
          <w:p>
            <w:pPr>
              <w:spacing w:after="60"/>
            </w:pPr>
            <w:r>
              <w:rPr>
                <w:sz w:val="18"/>
              </w:rPr>
            </w:r>
            <w:hyperlink r:id="rId22">
              <w:r>
                <w:rPr>
                  <w:color w:val="245A52"/>
                  <w:u w:val="single"/>
                </w:rPr>
                <w:t>[F02]</w:t>
              </w:r>
            </w:hyperlink>
            <w:r>
              <w:rPr>
                <w:sz w:val="18"/>
              </w:rPr>
              <w:t xml:space="preserve">, </w:t>
            </w:r>
            <w:hyperlink r:id="rId27">
              <w:r>
                <w:rPr>
                  <w:color w:val="245A52"/>
                  <w:u w:val="single"/>
                </w:rPr>
                <w:t>[F09]</w:t>
              </w:r>
            </w:hyperlink>
          </w:p>
        </w:tc>
        <w:tc>
          <w:tcPr>
            <w:tcW w:type="dxa" w:w="1512"/>
            <w:vAlign w:val="center"/>
          </w:tcPr>
          <w:p>
            <w:pPr>
              <w:spacing w:after="60"/>
            </w:pPr>
            <w:r>
              <w:rPr>
                <w:sz w:val="18"/>
              </w:rPr>
            </w:r>
            <w:hyperlink r:id="rId21">
              <w:r>
                <w:rPr>
                  <w:color w:val="245A52"/>
                  <w:u w:val="single"/>
                </w:rPr>
                <w:t>[F01]</w:t>
              </w:r>
            </w:hyperlink>
          </w:p>
        </w:tc>
        <w:tc>
          <w:tcPr>
            <w:tcW w:type="dxa" w:w="1512"/>
            <w:vAlign w:val="center"/>
          </w:tcPr>
          <w:p>
            <w:pPr>
              <w:spacing w:after="60"/>
            </w:pPr>
            <w:r>
              <w:rPr>
                <w:sz w:val="18"/>
              </w:rPr>
            </w:r>
            <w:r>
              <w:rPr>
                <w:sz w:val="18"/>
              </w:rPr>
              <w:t>нет</w:t>
            </w:r>
          </w:p>
        </w:tc>
        <w:tc>
          <w:tcPr>
            <w:tcW w:type="dxa" w:w="1512"/>
            <w:vAlign w:val="center"/>
          </w:tcPr>
          <w:p>
            <w:pPr>
              <w:spacing w:after="60"/>
            </w:pPr>
            <w:r>
              <w:rPr>
                <w:sz w:val="18"/>
              </w:rPr>
            </w:r>
            <w:r>
              <w:rPr>
                <w:sz w:val="18"/>
              </w:rPr>
              <w:t>нет</w:t>
            </w:r>
          </w:p>
        </w:tc>
      </w:tr>
      <w:tr>
        <w:tc>
          <w:tcPr>
            <w:tcW w:type="dxa" w:w="3024"/>
            <w:vAlign w:val="center"/>
          </w:tcPr>
          <w:p>
            <w:pPr>
              <w:spacing w:after="60"/>
            </w:pPr>
            <w:r>
              <w:rPr>
                <w:sz w:val="18"/>
              </w:rPr>
              <w:t>Род Nosopsyllus не закрыт одной ревизией.</w:t>
            </w:r>
          </w:p>
        </w:tc>
        <w:tc>
          <w:tcPr>
            <w:tcW w:type="dxa" w:w="1512"/>
            <w:vAlign w:val="center"/>
          </w:tcPr>
          <w:p>
            <w:pPr>
              <w:spacing w:after="60"/>
            </w:pPr>
            <w:r>
              <w:rPr>
                <w:sz w:val="18"/>
              </w:rPr>
            </w:r>
            <w:hyperlink r:id="rId35">
              <w:r>
                <w:rPr>
                  <w:color w:val="245A52"/>
                  <w:u w:val="single"/>
                </w:rPr>
                <w:t>[F03]</w:t>
              </w:r>
            </w:hyperlink>
          </w:p>
        </w:tc>
        <w:tc>
          <w:tcPr>
            <w:tcW w:type="dxa" w:w="1512"/>
            <w:vAlign w:val="center"/>
          </w:tcPr>
          <w:p>
            <w:pPr>
              <w:spacing w:after="60"/>
            </w:pPr>
            <w:r>
              <w:rPr>
                <w:sz w:val="18"/>
              </w:rPr>
            </w:r>
            <w:hyperlink r:id="rId21">
              <w:r>
                <w:rPr>
                  <w:color w:val="245A52"/>
                  <w:u w:val="single"/>
                </w:rPr>
                <w:t>[F01]</w:t>
              </w:r>
            </w:hyperlink>
          </w:p>
        </w:tc>
        <w:tc>
          <w:tcPr>
            <w:tcW w:type="dxa" w:w="1512"/>
            <w:vAlign w:val="center"/>
          </w:tcPr>
          <w:p>
            <w:pPr>
              <w:spacing w:after="60"/>
            </w:pPr>
            <w:r>
              <w:rPr>
                <w:sz w:val="18"/>
              </w:rPr>
            </w:r>
            <w:hyperlink r:id="rId22">
              <w:r>
                <w:rPr>
                  <w:color w:val="245A52"/>
                  <w:u w:val="single"/>
                </w:rPr>
                <w:t>[F02]</w:t>
              </w:r>
            </w:hyperlink>
          </w:p>
        </w:tc>
        <w:tc>
          <w:tcPr>
            <w:tcW w:type="dxa" w:w="1512"/>
            <w:vAlign w:val="center"/>
          </w:tcPr>
          <w:p>
            <w:pPr>
              <w:spacing w:after="60"/>
            </w:pPr>
            <w:r>
              <w:rPr>
                <w:sz w:val="18"/>
              </w:rPr>
            </w:r>
            <w:r>
              <w:rPr>
                <w:sz w:val="18"/>
              </w:rPr>
              <w:t>нет</w:t>
            </w:r>
          </w:p>
        </w:tc>
      </w:tr>
      <w:tr>
        <w:tc>
          <w:tcPr>
            <w:tcW w:type="dxa" w:w="3024"/>
            <w:vAlign w:val="center"/>
          </w:tcPr>
          <w:p>
            <w:pPr>
              <w:spacing w:after="60"/>
            </w:pPr>
            <w:r>
              <w:rPr>
                <w:sz w:val="18"/>
              </w:rPr>
              <w:t>Широкое Hystrichopsyllidae проблемно.</w:t>
            </w:r>
          </w:p>
        </w:tc>
        <w:tc>
          <w:tcPr>
            <w:tcW w:type="dxa" w:w="1512"/>
            <w:vAlign w:val="center"/>
          </w:tcPr>
          <w:p>
            <w:pPr>
              <w:spacing w:after="60"/>
            </w:pPr>
            <w:r>
              <w:rPr>
                <w:sz w:val="18"/>
              </w:rPr>
            </w:r>
            <w:hyperlink r:id="rId21">
              <w:r>
                <w:rPr>
                  <w:color w:val="245A52"/>
                  <w:u w:val="single"/>
                </w:rPr>
                <w:t>[F01]</w:t>
              </w:r>
            </w:hyperlink>
          </w:p>
        </w:tc>
        <w:tc>
          <w:tcPr>
            <w:tcW w:type="dxa" w:w="1512"/>
            <w:vAlign w:val="center"/>
          </w:tcPr>
          <w:p>
            <w:pPr>
              <w:spacing w:after="60"/>
            </w:pPr>
            <w:r>
              <w:rPr>
                <w:sz w:val="18"/>
              </w:rPr>
            </w:r>
            <w:hyperlink r:id="rId23">
              <w:r>
                <w:rPr>
                  <w:color w:val="245A52"/>
                  <w:u w:val="single"/>
                </w:rPr>
                <w:t>[F05]</w:t>
              </w:r>
            </w:hyperlink>
            <w:r>
              <w:rPr>
                <w:sz w:val="18"/>
              </w:rPr>
              <w:t xml:space="preserve">, </w:t>
            </w:r>
            <w:hyperlink r:id="rId26">
              <w:r>
                <w:rPr>
                  <w:color w:val="245A52"/>
                  <w:u w:val="single"/>
                </w:rPr>
                <w:t>[F08]</w:t>
              </w:r>
            </w:hyperlink>
          </w:p>
        </w:tc>
        <w:tc>
          <w:tcPr>
            <w:tcW w:type="dxa" w:w="1512"/>
            <w:vAlign w:val="center"/>
          </w:tcPr>
          <w:p>
            <w:pPr>
              <w:spacing w:after="60"/>
            </w:pPr>
            <w:r>
              <w:rPr>
                <w:sz w:val="18"/>
              </w:rPr>
            </w:r>
            <w:r>
              <w:rPr>
                <w:sz w:val="18"/>
              </w:rPr>
              <w:t>нет</w:t>
            </w:r>
          </w:p>
        </w:tc>
        <w:tc>
          <w:tcPr>
            <w:tcW w:type="dxa" w:w="1512"/>
            <w:vAlign w:val="center"/>
          </w:tcPr>
          <w:p>
            <w:pPr>
              <w:spacing w:after="60"/>
            </w:pPr>
            <w:r>
              <w:rPr>
                <w:sz w:val="18"/>
              </w:rPr>
            </w:r>
            <w:r>
              <w:rPr>
                <w:sz w:val="18"/>
              </w:rPr>
              <w:t>нет</w:t>
            </w:r>
          </w:p>
        </w:tc>
      </w:tr>
      <w:tr>
        <w:tc>
          <w:tcPr>
            <w:tcW w:type="dxa" w:w="3024"/>
            <w:vAlign w:val="center"/>
          </w:tcPr>
          <w:p>
            <w:pPr>
              <w:spacing w:after="60"/>
            </w:pPr>
            <w:r>
              <w:rPr>
                <w:sz w:val="18"/>
              </w:rPr>
              <w:t>H. detritum следует вести внутри H. scupense s.l.</w:t>
            </w:r>
          </w:p>
        </w:tc>
        <w:tc>
          <w:tcPr>
            <w:tcW w:type="dxa" w:w="1512"/>
            <w:vAlign w:val="center"/>
          </w:tcPr>
          <w:p>
            <w:pPr>
              <w:spacing w:after="60"/>
            </w:pPr>
            <w:r>
              <w:rPr>
                <w:sz w:val="18"/>
              </w:rPr>
            </w:r>
            <w:hyperlink r:id="rId28">
              <w:r>
                <w:rPr>
                  <w:color w:val="245A52"/>
                  <w:u w:val="single"/>
                </w:rPr>
                <w:t>[T01]</w:t>
              </w:r>
            </w:hyperlink>
            <w:r>
              <w:rPr>
                <w:sz w:val="18"/>
              </w:rPr>
              <w:t xml:space="preserve">, </w:t>
            </w:r>
            <w:hyperlink r:id="rId29">
              <w:r>
                <w:rPr>
                  <w:color w:val="245A52"/>
                  <w:u w:val="single"/>
                </w:rPr>
                <w:t>[T02]</w:t>
              </w:r>
            </w:hyperlink>
          </w:p>
        </w:tc>
        <w:tc>
          <w:tcPr>
            <w:tcW w:type="dxa" w:w="1512"/>
            <w:vAlign w:val="center"/>
          </w:tcPr>
          <w:p>
            <w:pPr>
              <w:spacing w:after="60"/>
            </w:pPr>
            <w:r>
              <w:rPr>
                <w:sz w:val="18"/>
              </w:rPr>
            </w:r>
            <w:r>
              <w:rPr>
                <w:sz w:val="18"/>
              </w:rPr>
              <w:t>нет</w:t>
            </w:r>
          </w:p>
        </w:tc>
        <w:tc>
          <w:tcPr>
            <w:tcW w:type="dxa" w:w="1512"/>
            <w:vAlign w:val="center"/>
          </w:tcPr>
          <w:p>
            <w:pPr>
              <w:spacing w:after="60"/>
            </w:pPr>
            <w:r>
              <w:rPr>
                <w:sz w:val="18"/>
              </w:rPr>
            </w:r>
            <w:hyperlink r:id="rId31">
              <w:r>
                <w:rPr>
                  <w:color w:val="245A52"/>
                  <w:u w:val="single"/>
                </w:rPr>
                <w:t>[T04]</w:t>
              </w:r>
            </w:hyperlink>
          </w:p>
        </w:tc>
        <w:tc>
          <w:tcPr>
            <w:tcW w:type="dxa" w:w="1512"/>
            <w:vAlign w:val="center"/>
          </w:tcPr>
          <w:p>
            <w:pPr>
              <w:spacing w:after="60"/>
            </w:pPr>
            <w:r>
              <w:rPr>
                <w:sz w:val="18"/>
              </w:rPr>
            </w:r>
            <w:r>
              <w:rPr>
                <w:sz w:val="18"/>
              </w:rPr>
              <w:t>нет</w:t>
            </w:r>
          </w:p>
        </w:tc>
      </w:tr>
      <w:tr>
        <w:tc>
          <w:tcPr>
            <w:tcW w:type="dxa" w:w="3024"/>
            <w:vAlign w:val="center"/>
          </w:tcPr>
          <w:p>
            <w:pPr>
              <w:spacing w:after="60"/>
            </w:pPr>
            <w:r>
              <w:rPr>
                <w:sz w:val="18"/>
              </w:rPr>
              <w:t>Магрибская двуххозяинная форма не равна доказательству для Закавказья.</w:t>
            </w:r>
          </w:p>
        </w:tc>
        <w:tc>
          <w:tcPr>
            <w:tcW w:type="dxa" w:w="1512"/>
            <w:vAlign w:val="center"/>
          </w:tcPr>
          <w:p>
            <w:pPr>
              <w:spacing w:after="60"/>
            </w:pPr>
            <w:r>
              <w:rPr>
                <w:sz w:val="18"/>
              </w:rPr>
            </w:r>
            <w:r>
              <w:rPr>
                <w:sz w:val="18"/>
              </w:rPr>
              <w:t>нет</w:t>
            </w:r>
          </w:p>
        </w:tc>
        <w:tc>
          <w:tcPr>
            <w:tcW w:type="dxa" w:w="1512"/>
            <w:vAlign w:val="center"/>
          </w:tcPr>
          <w:p>
            <w:pPr>
              <w:spacing w:after="60"/>
            </w:pPr>
            <w:r>
              <w:rPr>
                <w:sz w:val="18"/>
              </w:rPr>
            </w:r>
            <w:hyperlink r:id="rId31">
              <w:r>
                <w:rPr>
                  <w:color w:val="245A52"/>
                  <w:u w:val="single"/>
                </w:rPr>
                <w:t>[T04]</w:t>
              </w:r>
            </w:hyperlink>
          </w:p>
        </w:tc>
        <w:tc>
          <w:tcPr>
            <w:tcW w:type="dxa" w:w="1512"/>
            <w:vAlign w:val="center"/>
          </w:tcPr>
          <w:p>
            <w:pPr>
              <w:spacing w:after="60"/>
            </w:pPr>
            <w:r>
              <w:rPr>
                <w:sz w:val="18"/>
              </w:rPr>
            </w:r>
            <w:hyperlink r:id="rId30">
              <w:r>
                <w:rPr>
                  <w:color w:val="245A52"/>
                  <w:u w:val="single"/>
                </w:rPr>
                <w:t>[T03]</w:t>
              </w:r>
            </w:hyperlink>
          </w:p>
        </w:tc>
        <w:tc>
          <w:tcPr>
            <w:tcW w:type="dxa" w:w="1512"/>
            <w:vAlign w:val="center"/>
          </w:tcPr>
          <w:p>
            <w:pPr>
              <w:spacing w:after="60"/>
            </w:pPr>
            <w:r>
              <w:rPr>
                <w:sz w:val="18"/>
              </w:rPr>
            </w:r>
            <w:hyperlink r:id="rId34">
              <w:r>
                <w:rPr>
                  <w:color w:val="245A52"/>
                  <w:u w:val="single"/>
                </w:rPr>
                <w:t>[T07]</w:t>
              </w:r>
            </w:hyperlink>
          </w:p>
        </w:tc>
      </w:tr>
      <w:tr>
        <w:tc>
          <w:tcPr>
            <w:tcW w:type="dxa" w:w="3024"/>
            <w:vAlign w:val="center"/>
          </w:tcPr>
          <w:p>
            <w:pPr>
              <w:spacing w:after="60"/>
            </w:pPr>
            <w:r>
              <w:rPr>
                <w:sz w:val="18"/>
              </w:rPr>
              <w:t>Для Азербайджана доказана минимум одна сезонно-пастбищная форма.</w:t>
            </w:r>
          </w:p>
        </w:tc>
        <w:tc>
          <w:tcPr>
            <w:tcW w:type="dxa" w:w="1512"/>
            <w:vAlign w:val="center"/>
          </w:tcPr>
          <w:p>
            <w:pPr>
              <w:spacing w:after="60"/>
            </w:pPr>
            <w:r>
              <w:rPr>
                <w:sz w:val="18"/>
              </w:rPr>
            </w:r>
            <w:hyperlink r:id="rId34">
              <w:r>
                <w:rPr>
                  <w:color w:val="245A52"/>
                  <w:u w:val="single"/>
                </w:rPr>
                <w:t>[T07]</w:t>
              </w:r>
            </w:hyperlink>
          </w:p>
        </w:tc>
        <w:tc>
          <w:tcPr>
            <w:tcW w:type="dxa" w:w="1512"/>
            <w:vAlign w:val="center"/>
          </w:tcPr>
          <w:p>
            <w:pPr>
              <w:spacing w:after="60"/>
            </w:pPr>
            <w:r>
              <w:rPr>
                <w:sz w:val="18"/>
              </w:rPr>
            </w:r>
            <w:r>
              <w:rPr>
                <w:sz w:val="18"/>
              </w:rPr>
              <w:t>нет</w:t>
            </w:r>
          </w:p>
        </w:tc>
        <w:tc>
          <w:tcPr>
            <w:tcW w:type="dxa" w:w="1512"/>
            <w:vAlign w:val="center"/>
          </w:tcPr>
          <w:p>
            <w:pPr>
              <w:spacing w:after="60"/>
            </w:pPr>
            <w:r>
              <w:rPr>
                <w:sz w:val="18"/>
              </w:rPr>
            </w:r>
            <w:hyperlink r:id="rId28">
              <w:r>
                <w:rPr>
                  <w:color w:val="245A52"/>
                  <w:u w:val="single"/>
                </w:rPr>
                <w:t>[T01]</w:t>
              </w:r>
            </w:hyperlink>
            <w:r>
              <w:rPr>
                <w:sz w:val="18"/>
              </w:rPr>
              <w:t xml:space="preserve">, </w:t>
            </w:r>
            <w:hyperlink r:id="rId29">
              <w:r>
                <w:rPr>
                  <w:color w:val="245A52"/>
                  <w:u w:val="single"/>
                </w:rPr>
                <w:t>[T02]</w:t>
              </w:r>
            </w:hyperlink>
            <w:r>
              <w:rPr>
                <w:sz w:val="18"/>
              </w:rPr>
              <w:t xml:space="preserve">, </w:t>
            </w:r>
            <w:hyperlink r:id="rId33">
              <w:r>
                <w:rPr>
                  <w:color w:val="245A52"/>
                  <w:u w:val="single"/>
                </w:rPr>
                <w:t>[T06]</w:t>
              </w:r>
            </w:hyperlink>
          </w:p>
        </w:tc>
        <w:tc>
          <w:tcPr>
            <w:tcW w:type="dxa" w:w="1512"/>
            <w:vAlign w:val="center"/>
          </w:tcPr>
          <w:p>
            <w:pPr>
              <w:spacing w:after="60"/>
            </w:pPr>
            <w:r>
              <w:rPr>
                <w:sz w:val="18"/>
              </w:rPr>
            </w:r>
            <w:r>
              <w:rPr>
                <w:sz w:val="18"/>
              </w:rPr>
              <w:t>нет</w:t>
            </w:r>
          </w:p>
        </w:tc>
      </w:tr>
    </w:tbl>
    <w:p>
      <w:pPr>
        <w:pStyle w:val="Heading2"/>
      </w:pPr>
      <w:r>
        <w:t>Научная схема 5. Лестница уверенности</w:t>
      </w:r>
    </w:p>
    <w:p>
      <w:r>
        <w:rPr>
          <w:b/>
        </w:rPr>
        <w:t xml:space="preserve">Вопрос: </w:t>
      </w:r>
      <w:r>
        <w:t>Что известно твердо, что является рабочим выводом, а что остается открытым?</w:t>
      </w:r>
    </w:p>
    <w:p>
      <w:r>
        <w:rPr>
          <w:b/>
        </w:rPr>
        <w:t xml:space="preserve">Подпись: </w:t>
      </w:r>
      <w:r>
        <w:t>Лестница не дает гипотезам выглядеть как доказанные выводы.</w:t>
      </w:r>
    </w:p>
    <w:p>
      <w:r>
        <w:rPr>
          <w:b/>
        </w:rPr>
        <w:t xml:space="preserve">Оговорка: </w:t>
      </w:r>
      <w:r>
        <w:rPr>
          <w:i/>
          <w:color w:val="9C4A32"/>
        </w:rPr>
        <w:t>Лестница не является финальным прогнозом: уровень уверенности зависит от прочитанных источников текущей доказательной базы, а новая локальная выборка может изменить нижние уровни.</w:t>
      </w:r>
    </w:p>
    <w:p>
      <w:pPr>
        <w:pStyle w:val="Heading3"/>
      </w:pPr>
      <w:r>
        <w:t>Сильный вывод</w:t>
      </w:r>
    </w:p>
    <w:p>
      <w:pPr>
        <w:pStyle w:val="ListBullet"/>
      </w:pPr>
      <w:r>
        <w:t>N. fasciatus находится в Ceratophyllidae в текущей рамке.</w:t>
      </w:r>
      <w:r>
        <w:t xml:space="preserve"> Источники: </w:t>
      </w:r>
      <w:hyperlink r:id="rId27">
        <w:r>
          <w:rPr>
            <w:color w:val="245A52"/>
            <w:u w:val="single"/>
          </w:rPr>
          <w:t>[F09]</w:t>
        </w:r>
      </w:hyperlink>
      <w:r>
        <w:t xml:space="preserve">, </w:t>
      </w:r>
      <w:hyperlink r:id="rId22">
        <w:r>
          <w:rPr>
            <w:color w:val="245A52"/>
            <w:u w:val="single"/>
          </w:rPr>
          <w:t>[F02]</w:t>
        </w:r>
      </w:hyperlink>
    </w:p>
    <w:p>
      <w:pPr>
        <w:pStyle w:val="ListBullet"/>
      </w:pPr>
      <w:r>
        <w:t>H. detritum не ведется как отдельный вид без новых оснований.</w:t>
      </w:r>
      <w:r>
        <w:t xml:space="preserve"> Источники: </w:t>
      </w:r>
      <w:hyperlink r:id="rId28">
        <w:r>
          <w:rPr>
            <w:color w:val="245A52"/>
            <w:u w:val="single"/>
          </w:rPr>
          <w:t>[T01]</w:t>
        </w:r>
      </w:hyperlink>
      <w:r>
        <w:t xml:space="preserve">, </w:t>
      </w:r>
      <w:hyperlink r:id="rId29">
        <w:r>
          <w:rPr>
            <w:color w:val="245A52"/>
            <w:u w:val="single"/>
          </w:rPr>
          <w:t>[T02]</w:t>
        </w:r>
      </w:hyperlink>
    </w:p>
    <w:p>
      <w:pPr>
        <w:pStyle w:val="ListBullet"/>
      </w:pPr>
      <w:r>
        <w:t>В Нахчыване документирована минимум одна сезонно-пастбищная форма.</w:t>
      </w:r>
      <w:r>
        <w:t xml:space="preserve"> Источники: </w:t>
      </w:r>
      <w:hyperlink r:id="rId34">
        <w:r>
          <w:rPr>
            <w:color w:val="245A52"/>
            <w:u w:val="single"/>
          </w:rPr>
          <w:t>[T07]</w:t>
        </w:r>
      </w:hyperlink>
    </w:p>
    <w:p>
      <w:pPr>
        <w:pStyle w:val="Heading3"/>
      </w:pPr>
      <w:r>
        <w:t>Рабочий вывод</w:t>
      </w:r>
    </w:p>
    <w:p>
      <w:pPr>
        <w:pStyle w:val="ListBullet"/>
      </w:pPr>
      <w:r>
        <w:t>N. barbarus лучше держать как проблему внутри N. fasciatus s.l., пока первичный полный текст не прочитан.</w:t>
      </w:r>
      <w:r>
        <w:t xml:space="preserve"> Источники: </w:t>
      </w:r>
      <w:hyperlink r:id="rId21">
        <w:r>
          <w:rPr>
            <w:color w:val="245A52"/>
            <w:u w:val="single"/>
          </w:rPr>
          <w:t>[F01]</w:t>
        </w:r>
      </w:hyperlink>
      <w:r>
        <w:t xml:space="preserve">, </w:t>
      </w:r>
      <w:hyperlink r:id="rId35">
        <w:r>
          <w:rPr>
            <w:color w:val="245A52"/>
            <w:u w:val="single"/>
          </w:rPr>
          <w:t>[F03]</w:t>
        </w:r>
      </w:hyperlink>
    </w:p>
    <w:p>
      <w:pPr>
        <w:pStyle w:val="ListBullet"/>
      </w:pPr>
      <w:r>
        <w:t>Hystrichopsyllidae надо ревизовать род за родом.</w:t>
      </w:r>
      <w:r>
        <w:t xml:space="preserve"> Источники: </w:t>
      </w:r>
      <w:hyperlink r:id="rId21">
        <w:r>
          <w:rPr>
            <w:color w:val="245A52"/>
            <w:u w:val="single"/>
          </w:rPr>
          <w:t>[F01]</w:t>
        </w:r>
      </w:hyperlink>
      <w:r>
        <w:t xml:space="preserve">, </w:t>
      </w:r>
      <w:hyperlink r:id="rId23">
        <w:r>
          <w:rPr>
            <w:color w:val="245A52"/>
            <w:u w:val="single"/>
          </w:rPr>
          <w:t>[F05]</w:t>
        </w:r>
      </w:hyperlink>
      <w:r>
        <w:t xml:space="preserve">, </w:t>
      </w:r>
      <w:hyperlink r:id="rId26">
        <w:r>
          <w:rPr>
            <w:color w:val="245A52"/>
            <w:u w:val="single"/>
          </w:rPr>
          <w:t>[F08]</w:t>
        </w:r>
      </w:hyperlink>
    </w:p>
    <w:p>
      <w:pPr>
        <w:pStyle w:val="Heading3"/>
      </w:pPr>
      <w:r>
        <w:t>Правдоподобная гипотеза</w:t>
      </w:r>
    </w:p>
    <w:p>
      <w:pPr>
        <w:pStyle w:val="ListBullet"/>
      </w:pPr>
      <w:r>
        <w:t>Для Закавказья могут существовать разные экологические формы H. scupense s.l.</w:t>
      </w:r>
      <w:r>
        <w:t xml:space="preserve"> Источники: </w:t>
      </w:r>
      <w:hyperlink r:id="rId30">
        <w:r>
          <w:rPr>
            <w:color w:val="245A52"/>
            <w:u w:val="single"/>
          </w:rPr>
          <w:t>[T03]</w:t>
        </w:r>
      </w:hyperlink>
      <w:r>
        <w:t xml:space="preserve">, </w:t>
      </w:r>
      <w:hyperlink r:id="rId31">
        <w:r>
          <w:rPr>
            <w:color w:val="245A52"/>
            <w:u w:val="single"/>
          </w:rPr>
          <w:t>[T04]</w:t>
        </w:r>
      </w:hyperlink>
      <w:r>
        <w:t xml:space="preserve">, </w:t>
      </w:r>
      <w:hyperlink r:id="rId33">
        <w:r>
          <w:rPr>
            <w:color w:val="245A52"/>
            <w:u w:val="single"/>
          </w:rPr>
          <w:t>[T06]</w:t>
        </w:r>
      </w:hyperlink>
      <w:r>
        <w:t xml:space="preserve">, </w:t>
      </w:r>
      <w:hyperlink r:id="rId34">
        <w:r>
          <w:rPr>
            <w:color w:val="245A52"/>
            <w:u w:val="single"/>
          </w:rPr>
          <w:t>[T07]</w:t>
        </w:r>
      </w:hyperlink>
    </w:p>
    <w:p>
      <w:pPr>
        <w:pStyle w:val="Heading3"/>
      </w:pPr>
      <w:r>
        <w:t>Открытый вопрос</w:t>
      </w:r>
    </w:p>
    <w:p>
      <w:pPr>
        <w:pStyle w:val="ListBullet"/>
      </w:pPr>
      <w:r>
        <w:t>Сколько хозяев в жизненном цикле азербайджанского материала и есть ли молекулярно различимые локальные формы.</w:t>
      </w:r>
      <w:r>
        <w:t xml:space="preserve"> Источники: </w:t>
      </w:r>
      <w:hyperlink r:id="rId34">
        <w:r>
          <w:rPr>
            <w:color w:val="245A52"/>
            <w:u w:val="single"/>
          </w:rPr>
          <w:t>[T07]</w:t>
        </w:r>
      </w:hyperlink>
      <w:r>
        <w:t xml:space="preserve">, </w:t>
      </w:r>
      <w:hyperlink r:id="rId28">
        <w:r>
          <w:rPr>
            <w:color w:val="245A52"/>
            <w:u w:val="single"/>
          </w:rPr>
          <w:t>[T01]</w:t>
        </w:r>
      </w:hyperlink>
      <w:r>
        <w:t xml:space="preserve">, </w:t>
      </w:r>
      <w:hyperlink r:id="rId29">
        <w:r>
          <w:rPr>
            <w:color w:val="245A52"/>
            <w:u w:val="single"/>
          </w:rPr>
          <w:t>[T02]</w:t>
        </w:r>
      </w:hyperlink>
      <w:r>
        <w:t xml:space="preserve">, </w:t>
      </w:r>
      <w:hyperlink r:id="rId33">
        <w:r>
          <w:rPr>
            <w:color w:val="245A52"/>
            <w:u w:val="single"/>
          </w:rPr>
          <w:t>[T06]</w:t>
        </w:r>
      </w:hyperlink>
    </w:p>
    <w:p>
      <w:pPr>
        <w:pStyle w:val="Heading1"/>
      </w:pPr>
      <w:r>
        <w:t>Итоговый отчет</w:t>
      </w:r>
    </w:p>
    <w:p>
      <w:r>
        <w:t>Дата подготовки: 2026-07-07 10:00.</w:t>
      </w:r>
    </w:p>
    <w:p>
      <w:pPr>
        <w:pStyle w:val="Heading2"/>
      </w:pPr>
      <w:r>
        <w:t>Аннотация</w:t>
      </w:r>
    </w:p>
    <w:p>
      <w:r>
        <w:t>Эта работа собирает проверенную доказательную базу по четырем связанным вопросам: где держать Nosopsyllus fasciatus в современной системе блох; можно ли считать род Nosopsyllus уже ревизованным; что показывают новые молекулярные данные по проблемной зоне Hystrichopsyllidae; как корректно говорить о Hyalomma scupense s.l., старом имени H. detritum и возможных экологических формах в Закавказье.</w:t>
      </w:r>
    </w:p>
    <w:p>
      <w:r>
        <w:t>В доказательную базу включены только сохраненные и прочитанные документы: полные PDF, полные HTML-статьи и одна таксономическая страница, которая используется строго как справочная проверка. Всего прочитано 16 источников: 9 по блохам и 7 по клещам. Еще 3 источника вынесены отдельно как неиспользованные в доказательстве, потому что полный текст не получен. Поэтому отчет не подменяет чтение DOI, абстрактом или названием статьи.</w:t>
      </w:r>
    </w:p>
    <w:p>
      <w:r>
        <w:t>Главный результат: N. fasciatus удерживается внутри Ceratophyllidae, но род Nosopsyllus нельзя считать полностью ревизованным; широкое Hystrichopsyllidae проблемно и требует родовой ревизии; H. detritum в рабочей схеме следует вести как историческое/синонимическое имя внутри H. scupense s.l.; для Азербайджана по локально прочитанному источнику доказана минимум одна сезонно-пастбищная форма, а две формы для Закавказья остаются рабочей гипотезой, требующей прямой проверки.</w:t>
      </w:r>
    </w:p>
    <w:p>
      <w:pPr>
        <w:pStyle w:val="Heading2"/>
      </w:pPr>
      <w:r>
        <w:t>Вопросы исследования</w:t>
      </w:r>
    </w:p>
    <w:p>
      <w:pPr>
        <w:pStyle w:val="ListNumber"/>
      </w:pPr>
      <w:r>
        <w:t>Каково проверенное положение Nosopsyllus fasciatus относительно Ceratophyllidae, если не использовать закрытые статьи как будто они прочитаны?</w:t>
      </w:r>
    </w:p>
    <w:p>
      <w:pPr>
        <w:pStyle w:val="ListNumber"/>
      </w:pPr>
      <w:r>
        <w:t>Что реально известно о проблеме рода Nosopsyllus и пары N. barbarus / N. fasciatus по читаемым источникам?</w:t>
      </w:r>
    </w:p>
    <w:p>
      <w:pPr>
        <w:pStyle w:val="ListNumber"/>
      </w:pPr>
      <w:r>
        <w:t>Какие молекулярные данные указывают на проблемность широкого Hystrichopsyllidae и близких семейных границ?</w:t>
      </w:r>
    </w:p>
    <w:p>
      <w:pPr>
        <w:pStyle w:val="ListNumber"/>
      </w:pPr>
      <w:r>
        <w:t>Что можно доказать о Hyalomma scupense s.l. и экологических формах в Азербайджане/Закавказье, отделяя доказанное от гипотезы?</w:t>
      </w:r>
    </w:p>
    <w:p>
      <w:pPr>
        <w:pStyle w:val="Heading2"/>
      </w:pPr>
      <w:r>
        <w:t>Метод доказательной базы</w:t>
      </w:r>
    </w:p>
    <w:p>
      <w:r>
        <w:t>Единица доказательства в этой версии — не библиографическая запись, а прочитанный документ с локальной копией и карточкой. Для каждого источника зафиксированы: группа вопроса, статус доказательства, метод, что документ доказывает, чего не доказывает, ограничения, реферат, тезисы, вклад в итоговый вывод и связанные источники. Неполные карточки источников в доказательную базу не включаются.</w:t>
      </w:r>
    </w:p>
    <w:p>
      <w:r>
        <w:t>Статусы используются так: основное доказательство означает, что источник прямо несет ключевой вывод раздела; дополнительное доказательство поддерживает рамку или сравнение; справочная проверка дает навигационный контроль имени, но не заменяет научную статью; исключено означает, что документ найден, но не используется как доказательство из-за отсутствия полного текста.</w:t>
      </w:r>
    </w:p>
    <w:p>
      <w:r>
        <w:t>Ссылки на источники в тексте ведут к карточкам прочитанных документов:</w:t>
      </w:r>
      <w:hyperlink r:id="rId21">
        <w:r>
          <w:rPr>
            <w:color w:val="245A52"/>
            <w:u w:val="single"/>
          </w:rPr>
          <w:t>F01</w:t>
        </w:r>
      </w:hyperlink>
      <w:r>
        <w:t>,</w:t>
      </w:r>
      <w:hyperlink r:id="rId27">
        <w:r>
          <w:rPr>
            <w:color w:val="245A52"/>
            <w:u w:val="single"/>
          </w:rPr>
          <w:t>F09</w:t>
        </w:r>
      </w:hyperlink>
      <w:r>
        <w:t>,</w:t>
      </w:r>
      <w:hyperlink r:id="rId28">
        <w:r>
          <w:rPr>
            <w:color w:val="245A52"/>
            <w:u w:val="single"/>
          </w:rPr>
          <w:t>T01</w:t>
        </w:r>
      </w:hyperlink>
      <w:r>
        <w:t>. В HTML они открывают соответствующую карточку во встроенной читалке.</w:t>
      </w:r>
    </w:p>
    <w:p>
      <w:pPr>
        <w:pStyle w:val="Heading2"/>
      </w:pPr>
      <w:r>
        <w:t>Основные выводы</w:t>
      </w:r>
    </w:p>
    <w:p>
      <w:pPr>
        <w:pStyle w:val="ListBullet"/>
      </w:pPr>
      <w:r>
        <w:t>Статус: доказано. Nosopsyllus fasciatus следует удерживать в Ceratophyllidae и роде Nosopsyllus: это подтверждает справочная карточка</w:t>
      </w:r>
      <w:hyperlink r:id="rId27">
        <w:r>
          <w:rPr>
            <w:color w:val="245A52"/>
            <w:u w:val="single"/>
          </w:rPr>
          <w:t>F09</w:t>
        </w:r>
      </w:hyperlink>
      <w:r>
        <w:t>и современная молекулярная рамка Ceratophyllomorpha</w:t>
      </w:r>
      <w:hyperlink r:id="rId22">
        <w:r>
          <w:rPr>
            <w:color w:val="245A52"/>
            <w:u w:val="single"/>
          </w:rPr>
          <w:t>F02</w:t>
        </w:r>
      </w:hyperlink>
      <w:r>
        <w:t>.</w:t>
      </w:r>
    </w:p>
    <w:p>
      <w:pPr>
        <w:pStyle w:val="ListBullet"/>
      </w:pPr>
      <w:r>
        <w:t>Статус: рабочая гипотеза. N. barbarus лучше вести как синонимическую проблему внутри N. fasciatus s.l., но не как окончательно закрытый вывод: читаемый обзор</w:t>
      </w:r>
      <w:hyperlink r:id="rId21">
        <w:r>
          <w:rPr>
            <w:color w:val="245A52"/>
            <w:u w:val="single"/>
          </w:rPr>
          <w:t>F01</w:t>
        </w:r>
      </w:hyperlink>
      <w:r>
        <w:t>пересказывает морфо-молекулярную трактовку, а первичная Brill-статья остается неполученной.</w:t>
      </w:r>
    </w:p>
    <w:p>
      <w:pPr>
        <w:pStyle w:val="ListBullet"/>
      </w:pPr>
      <w:r>
        <w:t>Статус: доказано. Широкое Hystrichopsyllidae и смежные семейные границы нельзя считать спокойной, завершенной классификацией: обзор</w:t>
      </w:r>
      <w:hyperlink r:id="rId21">
        <w:r>
          <w:rPr>
            <w:color w:val="245A52"/>
            <w:u w:val="single"/>
          </w:rPr>
          <w:t>F01</w:t>
        </w:r>
      </w:hyperlink>
      <w:r>
        <w:t>прямо называет семейство парафилетическим, а митогеномные работы</w:t>
      </w:r>
      <w:hyperlink r:id="rId23">
        <w:r>
          <w:rPr>
            <w:color w:val="245A52"/>
            <w:u w:val="single"/>
          </w:rPr>
          <w:t>F05</w:t>
        </w:r>
      </w:hyperlink>
      <w:r>
        <w:t>,</w:t>
      </w:r>
      <w:hyperlink r:id="rId24">
        <w:r>
          <w:rPr>
            <w:color w:val="245A52"/>
            <w:u w:val="single"/>
          </w:rPr>
          <w:t>F06</w:t>
        </w:r>
      </w:hyperlink>
      <w:r>
        <w:t>,</w:t>
      </w:r>
      <w:hyperlink r:id="rId25">
        <w:r>
          <w:rPr>
            <w:color w:val="245A52"/>
            <w:u w:val="single"/>
          </w:rPr>
          <w:t>F07</w:t>
        </w:r>
      </w:hyperlink>
      <w:r>
        <w:t>и интегративная работа</w:t>
      </w:r>
      <w:hyperlink r:id="rId26">
        <w:r>
          <w:rPr>
            <w:color w:val="245A52"/>
            <w:u w:val="single"/>
          </w:rPr>
          <w:t>F08</w:t>
        </w:r>
      </w:hyperlink>
      <w:r>
        <w:t>показывают необходимость родовой проверки.</w:t>
      </w:r>
    </w:p>
    <w:p>
      <w:pPr>
        <w:pStyle w:val="ListBullet"/>
      </w:pPr>
      <w:r>
        <w:t>Статус: доказано. H. detritum не следует вести как самостоятельный вид без специальных оснований: таксономические работы</w:t>
      </w:r>
      <w:hyperlink r:id="rId28">
        <w:r>
          <w:rPr>
            <w:color w:val="245A52"/>
            <w:u w:val="single"/>
          </w:rPr>
          <w:t>T01</w:t>
        </w:r>
      </w:hyperlink>
      <w:r>
        <w:t>и</w:t>
      </w:r>
      <w:hyperlink r:id="rId29">
        <w:r>
          <w:rPr>
            <w:color w:val="245A52"/>
            <w:u w:val="single"/>
          </w:rPr>
          <w:t>T02</w:t>
        </w:r>
      </w:hyperlink>
      <w:r>
        <w:t>поддерживают синонимию с H. scupense.</w:t>
      </w:r>
    </w:p>
    <w:p>
      <w:pPr>
        <w:pStyle w:val="ListBullet"/>
      </w:pPr>
      <w:r>
        <w:t>Статус: не доказано локально. Для Азербайджана сейчас доказана минимум одна сезонно-пастбищная форма H. scupense s.l. по Нахчывану</w:t>
      </w:r>
      <w:hyperlink r:id="rId34">
        <w:r>
          <w:rPr>
            <w:color w:val="245A52"/>
            <w:u w:val="single"/>
          </w:rPr>
          <w:t>T07</w:t>
        </w:r>
      </w:hyperlink>
      <w:r>
        <w:t>; две формы для всего Закавказья — рабочая гипотеза на основе сравнительных источников</w:t>
      </w:r>
      <w:hyperlink r:id="rId30">
        <w:r>
          <w:rPr>
            <w:color w:val="245A52"/>
            <w:u w:val="single"/>
          </w:rPr>
          <w:t>T03</w:t>
        </w:r>
      </w:hyperlink>
      <w:r>
        <w:t>,</w:t>
      </w:r>
      <w:hyperlink r:id="rId31">
        <w:r>
          <w:rPr>
            <w:color w:val="245A52"/>
            <w:u w:val="single"/>
          </w:rPr>
          <w:t>T04</w:t>
        </w:r>
      </w:hyperlink>
      <w:r>
        <w:t>,</w:t>
      </w:r>
      <w:hyperlink r:id="rId33">
        <w:r>
          <w:rPr>
            <w:color w:val="245A52"/>
            <w:u w:val="single"/>
          </w:rPr>
          <w:t>T06</w:t>
        </w:r>
      </w:hyperlink>
      <w:r>
        <w:t>, но не локально закрытый факт.</w:t>
      </w:r>
    </w:p>
    <w:p>
      <w:pPr>
        <w:pStyle w:val="ListBullet"/>
      </w:pPr>
      <w:r>
        <w:t>Статус: исключено из доказательств. Закрытые или неполные источники X01-X03 не используются как прочитанные документы; они перечислены отдельно в конце отчета.</w:t>
      </w:r>
    </w:p>
    <w:p>
      <w:pPr>
        <w:pStyle w:val="Heading2"/>
      </w:pPr>
      <w:r>
        <w:t>1. Nosopsyllus fasciatus и Ceratophyllidae</w:t>
      </w:r>
    </w:p>
    <w:p>
      <w:r>
        <w:t>Положение N. fasciatus внутри Ceratophyllidae имеет два уровня проверки. Первый уровень — справочный: EPPO Global Database помещает вид в цепочку Siphonaptera - Ceratophyllidae - Nosopsyllus - N. fasciatus и указывает старые комбинации Ceratophyllus fasciatus и Ctenopsyllus fasciatus</w:t>
      </w:r>
      <w:hyperlink r:id="rId27">
        <w:r>
          <w:rPr>
            <w:color w:val="245A52"/>
            <w:u w:val="single"/>
          </w:rPr>
          <w:t>F09</w:t>
        </w:r>
      </w:hyperlink>
      <w:r>
        <w:t>. Это не филогенетика, но это полезная контрольная точка для имени.</w:t>
      </w:r>
    </w:p>
    <w:p>
      <w:r>
        <w:t>Второй уровень — молекулярная рамка. Zurita &amp; Matthee 2025 анализируют Ceratophyllomorpha на выборке 148 таксонов, 4689 выровненных позиций и семи маркеров; в этой рамке большинство представителей Ceratophyllidae поддержаны, но авторы прямо говорят о необходимости дальнейшей комплексной ревизии Siphonaptera</w:t>
      </w:r>
      <w:hyperlink r:id="rId22">
        <w:r>
          <w:rPr>
            <w:color w:val="245A52"/>
            <w:u w:val="single"/>
          </w:rPr>
          <w:t>F02</w:t>
        </w:r>
      </w:hyperlink>
      <w:r>
        <w:t>. Поэтому корректный вывод звучит не как “всё закрыто”, а как “текущее положение N. fasciatus в Ceratophyllidae подтверждается доступной рамкой, но родовая и видовая ревизия остаются отдельной задачей”.</w:t>
      </w:r>
    </w:p>
    <w:p>
      <w:r>
        <w:t>Обзор Bossard et al. 2023 добавляет осторожную формулировку по N. barbarus / N. fasciatus: эти формы рассматриваются как один вид на основе морфологических и молекулярных данных</w:t>
      </w:r>
      <w:hyperlink r:id="rId21">
        <w:r>
          <w:rPr>
            <w:color w:val="245A52"/>
            <w:u w:val="single"/>
          </w:rPr>
          <w:t>F01</w:t>
        </w:r>
      </w:hyperlink>
      <w:r>
        <w:t>. Но отчет не выдает этот пересказ за первичную проверку, потому что исходная Brill-статья Zurita et al. 2018 не получена в полном тексте. Поэтому статус вывода по паре N. barbarus / N. fasciatus — рабочая гипотеза, а не закрытая номенклатурная ревизия.</w:t>
      </w:r>
    </w:p>
    <w:p>
      <w:pPr>
        <w:pStyle w:val="Heading2"/>
      </w:pPr>
      <w:r>
        <w:t>2. Проблема рода Nosopsyllus</w:t>
      </w:r>
    </w:p>
    <w:p>
      <w:r>
        <w:t>Род Nosopsyllus нельзя считать полностью ревизованным по одному справочнику или одному митогеному. Fu et al. 2024 описывают митогеном Nosopsyllus laeviceps длиной 16533 п.н. с типичным набором из 37 генов и строят филогению по 13 митохондриальным белок-кодирующим генам</w:t>
      </w:r>
      <w:hyperlink r:id="rId35">
        <w:r>
          <w:rPr>
            <w:color w:val="245A52"/>
            <w:u w:val="single"/>
          </w:rPr>
          <w:t>F03</w:t>
        </w:r>
      </w:hyperlink>
      <w:r>
        <w:t>. Это важный шаг: род представлен в современной молекулярной матрице.</w:t>
      </w:r>
    </w:p>
    <w:p>
      <w:r>
        <w:t>Но та же работа показывает, почему вывод должен быть осторожным. Разные топологии дают признаки парафилии Ceratophyllidae, Leptopsyllidae, Ctenophthalmidae, а в BI-топологии также Hystrichopsyllidae</w:t>
      </w:r>
      <w:hyperlink r:id="rId35">
        <w:r>
          <w:rPr>
            <w:color w:val="245A52"/>
            <w:u w:val="single"/>
          </w:rPr>
          <w:t>F03</w:t>
        </w:r>
      </w:hyperlink>
      <w:r>
        <w:t>. Значит, один новый митогеном не закрывает род. Он показывает, что Nosopsyllus уже можно включать в современные сравнения, но для реальной ревизии нужны типовые серии, география, морфология, ядерные маркеры и расширенная митогеномная матрица.</w:t>
      </w:r>
    </w:p>
    <w:p>
      <w:r>
        <w:t>Практический вывод раздела: N. fasciatus не надо вынимать из Ceratophyllidae, но и нельзя писать, что род Nosopsyllus уже надежно разобран. Текущая доказательная база дает проверенную рамку и карту следующей ревизии, а не финальное решение всех видовых границ.</w:t>
      </w:r>
    </w:p>
    <w:p>
      <w:pPr>
        <w:pStyle w:val="Heading2"/>
      </w:pPr>
      <w:r>
        <w:t>3. Ревизия Hystrichopsyllidae</w:t>
      </w:r>
    </w:p>
    <w:p>
      <w:r>
        <w:t>Проблема Hystrichopsyllidae в этом отчете не сводится к одному названию. Bossard et al. 2023 прямо называют Hystrichopsyllidae крупнейшим, но парафилетическим семейством блох</w:t>
      </w:r>
      <w:hyperlink r:id="rId21">
        <w:r>
          <w:rPr>
            <w:color w:val="245A52"/>
            <w:u w:val="single"/>
          </w:rPr>
          <w:t>F01</w:t>
        </w:r>
      </w:hyperlink>
      <w:r>
        <w:t>. Это важный статус: широкую традиционную трактовку нельзя использовать как естественную группу без проверки родов.</w:t>
      </w:r>
    </w:p>
    <w:p>
      <w:r>
        <w:t>Митогеномные статьи дают несколько точек проверки. Chen et al. 2023 описывают митогеномы Ctenophthalmus quadratus и Stenischia humilis; оба имеют стандартные 37 генов, а филогенетический анализ сближает эти таксоны с Hystrichopsylla weida qinlingensis и указывает на парафилию Hystrichopsyllidae в матрице авторов</w:t>
      </w:r>
      <w:hyperlink r:id="rId23">
        <w:r>
          <w:rPr>
            <w:color w:val="245A52"/>
            <w:u w:val="single"/>
          </w:rPr>
          <w:t>F05</w:t>
        </w:r>
      </w:hyperlink>
      <w:r>
        <w:t>. Tan et al. 2023 дает прямой митогеномный материал по Hystrichopsylla weida qinlingensis и помещает Hystrichopsylla рядом с ветвью Dorcadia</w:t>
      </w:r>
      <w:hyperlink r:id="rId24">
        <w:r>
          <w:rPr>
            <w:color w:val="245A52"/>
            <w:u w:val="single"/>
          </w:rPr>
          <w:t>F06</w:t>
        </w:r>
      </w:hyperlink>
      <w:r>
        <w:t>. Chen et al. 2024 добавляет Paradoxopsyllus и Stenischia montanis и показывает парафилию Leptopsyllidae в своей матрице</w:t>
      </w:r>
      <w:hyperlink r:id="rId25">
        <w:r>
          <w:rPr>
            <w:color w:val="245A52"/>
            <w:u w:val="single"/>
          </w:rPr>
          <w:t>F07</w:t>
        </w:r>
      </w:hyperlink>
      <w:r>
        <w:t>.</w:t>
      </w:r>
    </w:p>
    <w:p>
      <w:r>
        <w:t>Методический контекст важен: Zhang et al. 2022 показывает, что митогеномы полезны для видовой идентификации и филогении, но зависят от таксонного покрытия</w:t>
      </w:r>
      <w:hyperlink r:id="rId36">
        <w:r>
          <w:rPr>
            <w:color w:val="245A52"/>
            <w:u w:val="single"/>
          </w:rPr>
          <w:t>F04</w:t>
        </w:r>
      </w:hyperlink>
      <w:r>
        <w:t>. Zhou et al. 2024 демонстрирует более сильную ревизионную логику: 392 блохи, морфология, COI и несколько дополнительных маркеров; в такой интегративной схеме Ctenophthalmidae и Hystrichopsylloidea также проявляют проблемные сигналы</w:t>
      </w:r>
      <w:hyperlink r:id="rId26">
        <w:r>
          <w:rPr>
            <w:color w:val="245A52"/>
            <w:u w:val="single"/>
          </w:rPr>
          <w:t>F08</w:t>
        </w:r>
      </w:hyperlink>
      <w:r>
        <w:t>.</w:t>
      </w:r>
    </w:p>
    <w:p>
      <w:r>
        <w:t>Итог раздела: сейчас нельзя честно предложить одну новую стабильную классификацию всех родов Hystrichopsyllidae. Доказанный вывод уже достаточен для научной работы: группу нужно ревизовать род за родом, особенно вокруг Hystrichopsylla, Ctenophthalmus, Stenischia, Paradoxopsyllus, Dorcadia и близких родов. Митогеномы полезны, но окончательная ревизия должна быть интегративной.</w:t>
      </w:r>
    </w:p>
    <w:p>
      <w:pPr>
        <w:pStyle w:val="Heading2"/>
      </w:pPr>
      <w:r>
        <w:t>4. Hyalomma scupense / H. detritum</w:t>
      </w:r>
    </w:p>
    <w:p>
      <w:r>
        <w:t>Таксономическое ядро блока Hyalomma — не региональная фенология, а синонимия H. detritum с H. scupense. Apanaskevich, Filippova &amp; Horak 2010 показывают, что неопределенность между этими именами длилась почти 85 лет, а старый критерий разделения был экологическим: H. scupense как однохозяинный клещ, H. detritum как двуххозяинный</w:t>
      </w:r>
      <w:hyperlink r:id="rId28">
        <w:r>
          <w:rPr>
            <w:color w:val="245A52"/>
            <w:u w:val="single"/>
          </w:rPr>
          <w:t>T01</w:t>
        </w:r>
      </w:hyperlink>
      <w:r>
        <w:t>. Морфологически формы признаны идентичными, приоритет имени H. scupense защищен, H. detritum синонимизирован.</w:t>
      </w:r>
    </w:p>
    <w:p>
      <w:r>
        <w:t>Филиппова 2003 подтверждает эту рамку через переисследование типовых серий: паратипы H. detritum признаны идентичными синтипам H. scupense, а различия жизненного цикла связываются с микроэволюцией внутри полиморфного вида</w:t>
      </w:r>
      <w:hyperlink r:id="rId29">
        <w:r>
          <w:rPr>
            <w:color w:val="245A52"/>
            <w:u w:val="single"/>
          </w:rPr>
          <w:t>T02</w:t>
        </w:r>
      </w:hyperlink>
      <w:r>
        <w:t>. Поэтому жизненный цикл важен, но он не может сам по себе превращать старое имя в отдельный вид.</w:t>
      </w:r>
    </w:p>
    <w:p>
      <w:r>
        <w:t>Сравнительная экология показывает, почему вопрос форм все равно не закрыт. В Магрибе H. scupense описан как двуххозяинный домашний эндофильный клещ крупного рогатого скота и других копытных</w:t>
      </w:r>
      <w:hyperlink r:id="rId30">
        <w:r>
          <w:rPr>
            <w:color w:val="245A52"/>
            <w:u w:val="single"/>
          </w:rPr>
          <w:t>T03</w:t>
        </w:r>
      </w:hyperlink>
      <w:r>
        <w:t>. Elati et al. 2024 подтверждает двуххозяинное поведение в Тунисе, но также указывает на холодоадаптированный однохозяинный экотип в других регионах и сообщения о китайском материале, способном к одному и двум хозяевам</w:t>
      </w:r>
      <w:hyperlink r:id="rId31">
        <w:r>
          <w:rPr>
            <w:color w:val="245A52"/>
            <w:u w:val="single"/>
          </w:rPr>
          <w:t>T04</w:t>
        </w:r>
      </w:hyperlink>
      <w:r>
        <w:t>. Grech-Angelini et al. 2016 дополнительно показывает региональную популяцию на Корсике, подтвержденную морфологией, COI и ITS2, и повторяет современную синонимию H. detritum с H. scupense</w:t>
      </w:r>
      <w:hyperlink r:id="rId32">
        <w:r>
          <w:rPr>
            <w:color w:val="245A52"/>
            <w:u w:val="single"/>
          </w:rPr>
          <w:t>T05</w:t>
        </w:r>
      </w:hyperlink>
      <w:r>
        <w:t>.</w:t>
      </w:r>
    </w:p>
    <w:p>
      <w:r>
        <w:t>Вывод раздела: корректная рабочая запись — Hyalomma scupense s.l.. Старое имя H. detritum допустимо упоминать как историческое или регионально используемое, но не как самостоятельный вид без специальных новых оснований.</w:t>
      </w:r>
    </w:p>
    <w:p>
      <w:pPr>
        <w:pStyle w:val="Heading2"/>
      </w:pPr>
      <w:r>
        <w:t>5. Азербайджан и Закавказье</w:t>
      </w:r>
    </w:p>
    <w:p>
      <w:r>
        <w:t>Локальная часть требует самой строгой формулировки. По прочитанным источникам нельзя честно сказать, что в Азербайджане доказаны две формы. Единственный локальный источник в текущей базе — Seyidov &amp; Seyidli 2026 по Нахчывану</w:t>
      </w:r>
      <w:hyperlink r:id="rId34">
        <w:r>
          <w:rPr>
            <w:color w:val="245A52"/>
            <w:u w:val="single"/>
          </w:rPr>
          <w:t>T07</w:t>
        </w:r>
      </w:hyperlink>
      <w:r>
        <w:t>. Он показывает одну сезонно-пастбищную низинно-предгорную популяцию: имаго имеют один выраженный пик с первой декады мая до конца августа, в сентябре взрослые исчезают, а личинки и нимфы появляются к концу августа и в сентябре. Пастбища расположены примерно на 600-1600 м.</w:t>
      </w:r>
    </w:p>
    <w:p>
      <w:r>
        <w:t>Статус этого вывода: доказано минимум одно местное сезонное проявление H. scupense s.l.. Но число хозяев в цикле не проверено напрямую, современная молекулярная ревизия локального материала не проведена, а само название в источнике дано как H. detritum, что требует перевода в современную рамку через</w:t>
      </w:r>
      <w:hyperlink r:id="rId28">
        <w:r>
          <w:rPr>
            <w:color w:val="245A52"/>
            <w:u w:val="single"/>
          </w:rPr>
          <w:t>T01</w:t>
        </w:r>
      </w:hyperlink>
      <w:r>
        <w:t>и</w:t>
      </w:r>
      <w:hyperlink r:id="rId29">
        <w:r>
          <w:rPr>
            <w:color w:val="245A52"/>
            <w:u w:val="single"/>
          </w:rPr>
          <w:t>T02</w:t>
        </w:r>
      </w:hyperlink>
      <w:r>
        <w:t>.</w:t>
      </w:r>
    </w:p>
    <w:p>
      <w:r>
        <w:t>Гипотеза о двух экологических формах для Закавказья остается разумной, но не закрытой. Южный двуххозяинный эндофильный полюс хорошо описан для Магриба</w:t>
      </w:r>
      <w:hyperlink r:id="rId30">
        <w:r>
          <w:rPr>
            <w:color w:val="245A52"/>
            <w:u w:val="single"/>
          </w:rPr>
          <w:t>T03</w:t>
        </w:r>
      </w:hyperlink>
      <w:r>
        <w:t>; пластичность жизненного цикла и известные однохозяинные/двуххозяинные варианты обсуждаются в</w:t>
      </w:r>
      <w:hyperlink r:id="rId31">
        <w:r>
          <w:rPr>
            <w:color w:val="245A52"/>
            <w:u w:val="single"/>
          </w:rPr>
          <w:t>T04</w:t>
        </w:r>
      </w:hyperlink>
      <w:r>
        <w:t>; восточный контекст и генетическая неоднородность H. scupense видны по Казахстану</w:t>
      </w:r>
      <w:hyperlink r:id="rId33">
        <w:r>
          <w:rPr>
            <w:color w:val="245A52"/>
            <w:u w:val="single"/>
          </w:rPr>
          <w:t>T06</w:t>
        </w:r>
      </w:hyperlink>
      <w:r>
        <w:t>. Но это сравнительные источники, а не локальное доказательство Азербайджана.</w:t>
      </w:r>
    </w:p>
    <w:p>
      <w:r>
        <w:t>Итог раздела: для Азербайджана доказана минимум одна сезонно-пастбищная форма. Для всего Закавказья две формы — рабочая гипотеза, которую нужно проверять отдельной программой сборов по высотным поясам, сезонам, хозяевам и молекулярным маркерам.</w:t>
      </w:r>
    </w:p>
    <w:p>
      <w:pPr>
        <w:pStyle w:val="Heading2"/>
      </w:pPr>
      <w:r>
        <w:t>Ограничения исследования</w:t>
      </w:r>
    </w:p>
    <w:p>
      <w:pPr>
        <w:pStyle w:val="ListBullet"/>
      </w:pPr>
      <w:r>
        <w:t>Полный текст Zurita et al. 2018 по Nosopsyllus не получен; поэтому вывод по N. barbarus / N. fasciatus основан на читаемых вторичных и современных источниках, а не на прямой проверке первичной статьи.</w:t>
      </w:r>
    </w:p>
    <w:p>
      <w:pPr>
        <w:pStyle w:val="ListBullet"/>
      </w:pPr>
      <w:r>
        <w:t>Для Nosopsyllus не выполнена собственная ревизия типовых серий и не собрана новая молекулярная матрица.</w:t>
      </w:r>
    </w:p>
    <w:p>
      <w:pPr>
        <w:pStyle w:val="ListBullet"/>
      </w:pPr>
      <w:r>
        <w:t>Для Hystrichopsyllidae текущая доказательная база показывает проблемность широкой группы, но не предлагает финальную новую классификацию всех родов.</w:t>
      </w:r>
    </w:p>
    <w:p>
      <w:pPr>
        <w:pStyle w:val="ListBullet"/>
      </w:pPr>
      <w:r>
        <w:t>Для Азербайджана прочитан один локальный источник по Нахчывану; он не доказывает две формы и не проверяет число хозяев в цикле напрямую.</w:t>
      </w:r>
    </w:p>
    <w:p>
      <w:pPr>
        <w:pStyle w:val="ListBullet"/>
      </w:pPr>
      <w:r>
        <w:t>Для Hyalomma scupense s.l. сравнительные данные по Магрибу, Корсике, Тунису, Китаю и Казахстану нельзя автоматически переносить на Закавказье.</w:t>
      </w:r>
    </w:p>
    <w:p>
      <w:pPr>
        <w:pStyle w:val="Heading2"/>
      </w:pPr>
      <w:r>
        <w:t>Что нужно делать дальше для полноценной ревизии</w:t>
      </w:r>
    </w:p>
    <w:p>
      <w:pPr>
        <w:pStyle w:val="ListNumber"/>
      </w:pPr>
      <w:r>
        <w:t>Получить полный текст Zurita et al. 2018 или заменить его другим читаемым первичным источником по Nosopsyllus.</w:t>
      </w:r>
    </w:p>
    <w:p>
      <w:pPr>
        <w:pStyle w:val="ListNumber"/>
      </w:pPr>
      <w:r>
        <w:t>Для Nosopsyllus fasciatus s.l. собрать типовые серии, географические серии, морфологию и молекулярную матрицу с ядерными и митохондриальными маркерами.</w:t>
      </w:r>
    </w:p>
    <w:p>
      <w:pPr>
        <w:pStyle w:val="ListNumber"/>
      </w:pPr>
      <w:r>
        <w:t>Для Hystrichopsyllidae строить ревизию по родам, не по одному семейному ярлыку: Hystrichopsylla, Ctenophthalmus, Stenischia, Paradoxopsyllus, Dorcadia и близкие роды.</w:t>
      </w:r>
    </w:p>
    <w:p>
      <w:pPr>
        <w:pStyle w:val="ListNumber"/>
      </w:pPr>
      <w:r>
        <w:t>Для Закавказья собрать H. scupense s.l. по высоте, сезону, хозяевам и типу биотопа; отдельно проверять число хозяев в жизненном цикле.</w:t>
      </w:r>
    </w:p>
    <w:p>
      <w:pPr>
        <w:pStyle w:val="ListNumber"/>
      </w:pPr>
      <w:r>
        <w:t>Для азербайджанского материала добавить COI/16S/12S и желательно ядерные маркеры, чтобы отделить экологическую форму от таксономического имени.</w:t>
      </w:r>
    </w:p>
    <w:p>
      <w:pPr>
        <w:pStyle w:val="Heading2"/>
      </w:pPr>
      <w:r>
        <w:t>Список прочитанных источников</w:t>
      </w:r>
    </w:p>
    <w:p>
      <w:pPr>
        <w:pStyle w:val="ListBullet"/>
      </w:pPr>
      <w:hyperlink r:id="rId21">
        <w:r>
          <w:rPr>
            <w:color w:val="245A52"/>
            <w:u w:val="single"/>
          </w:rPr>
          <w:t>F01</w:t>
        </w:r>
      </w:hyperlink>
      <w:r>
        <w:t>— Bossard et al. 2023. Flea family diversity. Статус: основное доказательство; метод: Обзорная таксономическая и филогенетическая работа: авторы сводят данные по современным семействам Siphonaptera, морфологическим трактовкам и молекулярным результатам, а не описывают один новый локальный материал.; вклад: Карточка F01 объясняет, почему отчет удерживает Nosopsyllus внутри Ceratophyllidae, но не делает вид, что закрытая Brill-статья была прочитана. Она также задает первый аргумент для блока Hystrichopsyllidae: широкая семейная трактовка проблемна и требует родовой проверки.</w:t>
      </w:r>
    </w:p>
    <w:p>
      <w:pPr>
        <w:pStyle w:val="ListBullet"/>
      </w:pPr>
      <w:hyperlink r:id="rId22">
        <w:r>
          <w:rPr>
            <w:color w:val="245A52"/>
            <w:u w:val="single"/>
          </w:rPr>
          <w:t>F02</w:t>
        </w:r>
      </w:hyperlink>
      <w:r>
        <w:t>— Zurita &amp; Matthee 2025. Molecular phylogeny of Ceratophyllomorpha. Статус: основное доказательство; метод: Молекулярная филогения Ceratophyllomorpha: выборка 148 таксонов, 4689 выровненных позиций и семь маркеров; результат читается как рамка для родов и семейств, а не как одиночная видовая карточка.; вклад: Карточка F02 дает молекулярный каркас для первого раздела отчета: Nosopsyllus удерживается в современной рамке Ceratophyllidae, но вопрос видовых границ не объявляется закрытым.</w:t>
      </w:r>
    </w:p>
    <w:p>
      <w:pPr>
        <w:pStyle w:val="ListBullet"/>
      </w:pPr>
      <w:hyperlink r:id="rId35">
        <w:r>
          <w:rPr>
            <w:color w:val="245A52"/>
            <w:u w:val="single"/>
          </w:rPr>
          <w:t>F03</w:t>
        </w:r>
      </w:hyperlink>
      <w:r>
        <w:t>— Fu et al. 2024. Complete mitochondrial genome of Nosopsyllus laeviceps. Статус: дополнительное доказательство; метод: Митогеномика: описание полного митохондриального генома Nosopsyllus laeviceps и филогенетический анализ по 13 митохондриальным белок-кодирующим генам.; вклад: Карточка F03 поддерживает вывод, что Nosopsyllus нельзя ревизовать по одному источнику: даже новый митогеном дает сигнал, который требует проверки другими маркерами и морфологией.</w:t>
      </w:r>
    </w:p>
    <w:p>
      <w:pPr>
        <w:pStyle w:val="ListBullet"/>
      </w:pPr>
      <w:hyperlink r:id="rId36">
        <w:r>
          <w:rPr>
            <w:color w:val="245A52"/>
            <w:u w:val="single"/>
          </w:rPr>
          <w:t>F04</w:t>
        </w:r>
      </w:hyperlink>
      <w:r>
        <w:t>— Zhang et al. 2022. Mitochondrial phylogenomics provides insights into the taxonomy and phylogeny of fleas. Статус: дополнительное доказательство; метод: Митохондриальная филогеномика: декодирование митогеномов и использование митохондриальных последовательностей для видовой идентификации и реконструкции отношений между блохами.; вклад: Карточка F04 объясняет, почему митогеномные источники принимаются в доказательную базу, но не считаются самодостаточной заменой интегративной ревизии.</w:t>
      </w:r>
    </w:p>
    <w:p>
      <w:pPr>
        <w:pStyle w:val="ListBullet"/>
      </w:pPr>
      <w:hyperlink r:id="rId23">
        <w:r>
          <w:rPr>
            <w:color w:val="245A52"/>
            <w:u w:val="single"/>
          </w:rPr>
          <w:t>F05</w:t>
        </w:r>
      </w:hyperlink>
      <w:r>
        <w:t>— Chen et al. 2023. Complete mitochondrial genome of Ctenophthalmus quadratus and Stenischia humilis. Статус: основное доказательство; метод: Митогеномика двух таксонов, связанных с проблемной зоной Hystrichopsyllidae/Ctenophthalmidae: описание геномов Ctenophthalmus quadratus и Stenischia humilis плюс филогенетический анализ.; вклад: Карточка F05 дает один из центральных аргументов: семейные границы вокруг Hystrichopsyllidae надо проверять род за родом, а не принимать по традиционной широкой схеме.</w:t>
      </w:r>
    </w:p>
    <w:p>
      <w:pPr>
        <w:pStyle w:val="ListBullet"/>
      </w:pPr>
      <w:hyperlink r:id="rId24">
        <w:r>
          <w:rPr>
            <w:color w:val="245A52"/>
            <w:u w:val="single"/>
          </w:rPr>
          <w:t>F06</w:t>
        </w:r>
      </w:hyperlink>
      <w:r>
        <w:t>— Tan et al. 2023. Complete mitochondrial genome of Hystrichopsylla weida qinlingensis. Статус: основное доказательство; метод: Митогеномика Hystrichopsylla: описание митогенома Hystrichopsylla weida qinlingensis и его включение в филогенетическое сравнение с близкими ветвями.; вклад: Карточка F06 связывает выводы F05 с собственно Hystrichopsylla и укрепляет блок, где Hystrichopsyllidae рассматриваются как группа, требующая родовой ревизии.</w:t>
      </w:r>
    </w:p>
    <w:p>
      <w:pPr>
        <w:pStyle w:val="ListBullet"/>
      </w:pPr>
      <w:hyperlink r:id="rId25">
        <w:r>
          <w:rPr>
            <w:color w:val="245A52"/>
            <w:u w:val="single"/>
          </w:rPr>
          <w:t>F07</w:t>
        </w:r>
      </w:hyperlink>
      <w:r>
        <w:t>— Chen et al. 2024. Mitochondrial genomes of Paradoxopsyllus custodis and Stenischia montanis yunlongensis. Статус: дополнительное доказательство; метод: Митогеномика Paradoxopsyllus и Stenischia: описание двух митогеномов и построение ML/BI деревьев для проверки семейных и родовых отношений.; вклад: Карточка F07 усиливает осторожность отчета: даже смежные семейные группы проявляют нестабильность, поэтому ревизия должна идти через сравнение матриц, а не через один источник.</w:t>
      </w:r>
    </w:p>
    <w:p>
      <w:pPr>
        <w:pStyle w:val="ListBullet"/>
      </w:pPr>
      <w:hyperlink r:id="rId26">
        <w:r>
          <w:rPr>
            <w:color w:val="245A52"/>
            <w:u w:val="single"/>
          </w:rPr>
          <w:t>F08</w:t>
        </w:r>
      </w:hyperlink>
      <w:r>
        <w:t>— Zhou et al. 2024. Taxonomy and phylogeny of rodents parasitic fleas in southeastern China. Статус: основное доказательство; метод: Интегративная таксономия: полевые сборы блох грызунов, морфологическое определение, COI и несколько дополнительных маркеров для филогенетической проверки.; вклад: Карточка F08 формирует практический стандарт для будущего этапа: если пересматривать Nosopsyllus или Hystrichopsyllidae всерьез, нужна интегративная матрица, а не одиночные признаки.</w:t>
      </w:r>
    </w:p>
    <w:p>
      <w:pPr>
        <w:pStyle w:val="ListBullet"/>
      </w:pPr>
      <w:hyperlink r:id="rId27">
        <w:r>
          <w:rPr>
            <w:color w:val="245A52"/>
            <w:u w:val="single"/>
          </w:rPr>
          <w:t>F09</w:t>
        </w:r>
      </w:hyperlink>
      <w:r>
        <w:t>— EPPO Global Database. Nosopsyllus fasciatus. Статус: справочная проверка; метод: Справочная таксономическая проверка: используется сохраненная страница EPPO Global Database с цепочкой классификации и синонимами, без филогенетического анализа.; вклад: Карточка F09 отделяет справочную проверку от доказательства: она поддерживает навигацию по виду, но не заменяет молекулярные и обзорные источники.</w:t>
      </w:r>
    </w:p>
    <w:p>
      <w:pPr>
        <w:pStyle w:val="ListBullet"/>
      </w:pPr>
      <w:hyperlink r:id="rId28">
        <w:r>
          <w:rPr>
            <w:color w:val="245A52"/>
            <w:u w:val="single"/>
          </w:rPr>
          <w:t>T01</w:t>
        </w:r>
      </w:hyperlink>
      <w:r>
        <w:t>— Apanaskevich, Filippova &amp; Horak 2010. Redescription of H. scupense (= H. detritum). Статус: основное доказательство; метод: Морфологическая и номенклатурная ревизия: переописание H. scupense, сопоставление с H. detritum и оценка старого экологического критерия разделения.; вклад: Карточка T01 задает базовую таксономическую рамку всего отчета: обсуждаются формы H. scupense s.l., а не два уверенно самостоятельных вида H. scupense и H. detritum.</w:t>
      </w:r>
    </w:p>
    <w:p>
      <w:pPr>
        <w:pStyle w:val="ListBullet"/>
      </w:pPr>
      <w:hyperlink r:id="rId29">
        <w:r>
          <w:rPr>
            <w:color w:val="245A52"/>
            <w:u w:val="single"/>
          </w:rPr>
          <w:t>T02</w:t>
        </w:r>
      </w:hyperlink>
      <w:r>
        <w:t>— Филиппова 2003. Переисследование типовых серий H. scupense и H. detritum. Статус: основное доказательство; метод: Морфологическое переисследование типовых серий H. scupense и H. detritum с таксономическим выводом и обсуждением связи жизненного цикла с климатом.; вклад: Карточка T02 позволяет объяснить владельцу и читателю, почему старое имя H. detritum не выкидывается из истории, но переводится в синонимию H. scupense s.l.</w:t>
      </w:r>
    </w:p>
    <w:p>
      <w:pPr>
        <w:pStyle w:val="ListBullet"/>
      </w:pPr>
      <w:hyperlink r:id="rId30">
        <w:r>
          <w:rPr>
            <w:color w:val="245A52"/>
            <w:u w:val="single"/>
          </w:rPr>
          <w:t>T03</w:t>
        </w:r>
      </w:hyperlink>
      <w:r>
        <w:t>— Gharbi &amp; Darghouth 2014. Review of H. scupense in the Maghreb. Статус: основное доказательство; метод: Обзор региональной экологии и жизненного цикла H. scupense в Магрибе: хозяева, сезонность стадий, эндофильность и связь со скотоводческой инфраструктурой.; вклад: Карточка T03 дает отчету модель южной двуххозяинной формы, которую можно сравнивать с локальным Нахчываном и с общей пластичностью жизненного цикла.</w:t>
      </w:r>
    </w:p>
    <w:p>
      <w:pPr>
        <w:pStyle w:val="ListBullet"/>
      </w:pPr>
      <w:hyperlink r:id="rId31">
        <w:r>
          <w:rPr>
            <w:color w:val="245A52"/>
            <w:u w:val="single"/>
          </w:rPr>
          <w:t>T04</w:t>
        </w:r>
      </w:hyperlink>
      <w:r>
        <w:t>— Elati et al. 2024. In vitro feeding of Hyalomma scupense and related species. Статус: основное доказательство; метод: Экология и экспериментальная биология жизненного цикла: обзор региональных вариантов H. scupense и данные in vitro кормления для разных стадий.; вклад: Карточка T04 является мостом между таксономией и экологией: она позволяет формулировать гипотезу о двух формах Закавказья осторожно и проверяемо.</w:t>
      </w:r>
    </w:p>
    <w:p>
      <w:pPr>
        <w:pStyle w:val="ListBullet"/>
      </w:pPr>
      <w:hyperlink r:id="rId32">
        <w:r>
          <w:rPr>
            <w:color w:val="245A52"/>
            <w:u w:val="single"/>
          </w:rPr>
          <w:t>T05</w:t>
        </w:r>
      </w:hyperlink>
      <w:r>
        <w:t>— Grech-Angelini et al. 2016. First report of H. scupense on Corsica. Статус: дополнительное доказательство; метод: Региональное наблюдение с морфологической идентификацией и молекулярным подтверждением COI/IT материал по H. scupense на Корсике.; вклад: Карточка T05 показывает, каким должен быть региональный уровень доказательства: морфологическое определение, молекулярная проверка и связь с хозяевами.</w:t>
      </w:r>
    </w:p>
    <w:p>
      <w:pPr>
        <w:pStyle w:val="ListBullet"/>
      </w:pPr>
      <w:hyperlink r:id="rId33">
        <w:r>
          <w:rPr>
            <w:color w:val="245A52"/>
            <w:u w:val="single"/>
          </w:rPr>
          <w:t>T06</w:t>
        </w:r>
      </w:hyperlink>
      <w:r>
        <w:t>— Awulibieer et al. 2026. Genetic diversity of H. scupense in Kazakhstan. Статус: дополнительное доказательство; метод: Региональные сборы и COI-разнообразие: массовый материал из Казахстана, видовой состав клещей и гаплотипы H. scupense.; вклад: Карточка T06 добавляет географический масштаб и генетический контекст, но не подменяет локальную доказательную базу Азербайджана.</w:t>
      </w:r>
    </w:p>
    <w:p>
      <w:pPr>
        <w:pStyle w:val="ListBullet"/>
      </w:pPr>
      <w:hyperlink r:id="rId34">
        <w:r>
          <w:rPr>
            <w:color w:val="245A52"/>
            <w:u w:val="single"/>
          </w:rPr>
          <w:t>T07</w:t>
        </w:r>
      </w:hyperlink>
      <w:r>
        <w:t>— Seyidov &amp; Seyidli 2026. Age composition of H. detritum in Nakhchivan. Статус: основное доказательство; метод: Локальные региональные наблюдения по Нахчывану: сезонная возрастная структура популяции, высотный пояс пастбищ и список возможных хозяев.; вклад: Карточка T07 ставит нижнюю границу доказанного по Азербайджану: одна локальная сезонная форма подтверждена, вторая остается рабочей гипотезой.</w:t>
      </w:r>
    </w:p>
    <w:p>
      <w:pPr>
        <w:pStyle w:val="Heading2"/>
      </w:pPr>
      <w:r>
        <w:t>Список исключенных источников</w:t>
      </w:r>
    </w:p>
    <w:p>
      <w:pPr>
        <w:pStyle w:val="ListBullet"/>
      </w:pPr>
      <w:r>
        <w:t>X01 — Zurita et al. 2018. Morphological and molecular study of Nosopsyllus.</w:t>
      </w:r>
      <w:hyperlink r:id="rId37">
        <w:r>
          <w:rPr>
            <w:color w:val="245A52"/>
            <w:u w:val="single"/>
          </w:rPr>
          <w:t>ССЫЛКА</w:t>
        </w:r>
      </w:hyperlink>
      <w:r>
        <w:t>. Статус: исключено; причина: Brill-страница сейчас не дала полный текст/PDF; доступна только аннотация на индексированных страницах. Не используется как прочитанный полный документ. Что делать дальше: Получить полный текст через библиотечный доступ или заменить читаемой работой, где первичные данные доступны полностью.</w:t>
      </w:r>
    </w:p>
    <w:p>
      <w:pPr>
        <w:pStyle w:val="ListBullet"/>
      </w:pPr>
      <w:r>
        <w:t>X02 — Akyildiz et al. 2021. Cold-adapted one-host north form of H. scupense.</w:t>
      </w:r>
      <w:hyperlink r:id="rId38">
        <w:r>
          <w:rPr>
            <w:color w:val="245A52"/>
            <w:u w:val="single"/>
          </w:rPr>
          <w:t>ССЫЛКА</w:t>
        </w:r>
      </w:hyperlink>
      <w:r>
        <w:t>. Статус: исключено; причина: Полный текст не найден в открытом доступе; ScienceDirect/PubMed дают абстракт/страницу. Факт однохозяинного холодоадаптированного экотипа используется только через читаемый полный текст Elati et al. 2024 как вторичное указание. Что делать дальше: Получить полный текст и проверить, какие именно популяции и условия авторы связывают с однохозяинным циклом.</w:t>
      </w:r>
    </w:p>
    <w:p>
      <w:pPr>
        <w:pStyle w:val="ListBullet"/>
      </w:pPr>
      <w:r>
        <w:t>X03 — Yang et al. 2022. Life cycle of H. scupense under laboratory conditions.</w:t>
      </w:r>
      <w:hyperlink r:id="rId39">
        <w:r>
          <w:rPr>
            <w:color w:val="245A52"/>
            <w:u w:val="single"/>
          </w:rPr>
          <w:t>ССЫЛКА</w:t>
        </w:r>
      </w:hyperlink>
      <w:r>
        <w:t>. Статус: исключено; причина: Полный текст не найден в открытом доступе. Числовые детали жизненного цикла из абстракта не используются как основной факт нового отчета. Что делать дальше: Найти полный текст или открытый препринт, прежде чем переносить числовые параметры жизненного цикла в доказательную базу.</w:t>
      </w:r>
    </w:p>
    <w:p>
      <w:r>
        <w:br w:type="page"/>
      </w:r>
    </w:p>
    <w:p>
      <w:pPr>
        <w:pStyle w:val="Heading1"/>
      </w:pPr>
      <w:r>
        <w:t>Реестр прочитанных источников</w:t>
      </w:r>
    </w:p>
    <w:tbl>
      <w:tblPr>
        <w:tblStyle w:val="TableGrid"/>
        <w:tblW w:type="auto" w:w="0"/>
        <w:jc w:val="center"/>
        <w:tblLayout w:type="fixed"/>
        <w:tblLook w:firstColumn="1" w:firstRow="1" w:lastColumn="0" w:lastRow="0" w:noHBand="0" w:noVBand="1" w:val="04A0"/>
      </w:tblPr>
      <w:tblGrid>
        <w:gridCol w:w="1337"/>
        <w:gridCol w:w="1337"/>
        <w:gridCol w:w="1337"/>
        <w:gridCol w:w="1337"/>
        <w:gridCol w:w="1337"/>
        <w:gridCol w:w="1337"/>
        <w:gridCol w:w="1337"/>
      </w:tblGrid>
      <w:tr>
        <w:tc>
          <w:tcPr>
            <w:tcW w:type="dxa" w:w="792"/>
            <w:vAlign w:val="center"/>
            <w:shd w:fill="E8EEF5"/>
          </w:tcPr>
          <w:p>
            <w:pPr>
              <w:spacing w:after="60"/>
            </w:pPr>
            <w:r>
              <w:rPr>
                <w:b/>
                <w:color w:val="1F4D78"/>
                <w:sz w:val="18"/>
              </w:rPr>
              <w:t>ID</w:t>
            </w:r>
          </w:p>
        </w:tc>
        <w:tc>
          <w:tcPr>
            <w:tcW w:type="dxa" w:w="1368"/>
            <w:vAlign w:val="center"/>
            <w:shd w:fill="E8EEF5"/>
          </w:tcPr>
          <w:p>
            <w:pPr>
              <w:spacing w:after="60"/>
            </w:pPr>
            <w:r>
              <w:rPr>
                <w:b/>
                <w:color w:val="1F4D78"/>
                <w:sz w:val="18"/>
              </w:rPr>
              <w:t>Группа</w:t>
            </w:r>
          </w:p>
        </w:tc>
        <w:tc>
          <w:tcPr>
            <w:tcW w:type="dxa" w:w="1584"/>
            <w:vAlign w:val="center"/>
            <w:shd w:fill="E8EEF5"/>
          </w:tcPr>
          <w:p>
            <w:pPr>
              <w:spacing w:after="60"/>
            </w:pPr>
            <w:r>
              <w:rPr>
                <w:b/>
                <w:color w:val="1F4D78"/>
                <w:sz w:val="18"/>
              </w:rPr>
              <w:t>Метод</w:t>
            </w:r>
          </w:p>
        </w:tc>
        <w:tc>
          <w:tcPr>
            <w:tcW w:type="dxa" w:w="1512"/>
            <w:vAlign w:val="center"/>
            <w:shd w:fill="E8EEF5"/>
          </w:tcPr>
          <w:p>
            <w:pPr>
              <w:spacing w:after="60"/>
            </w:pPr>
            <w:r>
              <w:rPr>
                <w:b/>
                <w:color w:val="1F4D78"/>
                <w:sz w:val="18"/>
              </w:rPr>
              <w:t>Статус</w:t>
            </w:r>
          </w:p>
        </w:tc>
        <w:tc>
          <w:tcPr>
            <w:tcW w:type="dxa" w:w="2808"/>
            <w:vAlign w:val="center"/>
            <w:shd w:fill="E8EEF5"/>
          </w:tcPr>
          <w:p>
            <w:pPr>
              <w:spacing w:after="60"/>
            </w:pPr>
            <w:r>
              <w:rPr>
                <w:b/>
                <w:color w:val="1F4D78"/>
                <w:sz w:val="18"/>
              </w:rPr>
              <w:t>Источник</w:t>
            </w:r>
          </w:p>
        </w:tc>
        <w:tc>
          <w:tcPr>
            <w:tcW w:type="dxa" w:w="936"/>
            <w:vAlign w:val="center"/>
            <w:shd w:fill="E8EEF5"/>
          </w:tcPr>
          <w:p>
            <w:pPr>
              <w:spacing w:after="60"/>
            </w:pPr>
            <w:r>
              <w:rPr>
                <w:b/>
                <w:color w:val="1F4D78"/>
                <w:sz w:val="18"/>
              </w:rPr>
              <w:t>Оригинал</w:t>
            </w:r>
          </w:p>
        </w:tc>
        <w:tc>
          <w:tcPr>
            <w:tcW w:type="dxa" w:w="936"/>
            <w:vAlign w:val="center"/>
            <w:shd w:fill="E8EEF5"/>
          </w:tcPr>
          <w:p>
            <w:pPr>
              <w:spacing w:after="60"/>
            </w:pPr>
            <w:r>
              <w:rPr>
                <w:b/>
                <w:color w:val="1F4D78"/>
                <w:sz w:val="18"/>
              </w:rPr>
              <w:t>Читать</w:t>
            </w:r>
          </w:p>
        </w:tc>
      </w:tr>
      <w:tr>
        <w:tc>
          <w:tcPr>
            <w:tcW w:type="dxa" w:w="792"/>
            <w:vAlign w:val="center"/>
          </w:tcPr>
          <w:p>
            <w:pPr>
              <w:spacing w:after="60"/>
            </w:pPr>
            <w:r>
              <w:rPr>
                <w:sz w:val="18"/>
              </w:rPr>
            </w:r>
            <w:hyperlink r:id="rId21">
              <w:r>
                <w:rPr>
                  <w:color w:val="245A52"/>
                  <w:u w:val="single"/>
                </w:rPr>
                <w:t>[F01]</w:t>
              </w:r>
            </w:hyperlink>
          </w:p>
        </w:tc>
        <w:tc>
          <w:tcPr>
            <w:tcW w:type="dxa" w:w="1368"/>
            <w:vAlign w:val="center"/>
          </w:tcPr>
          <w:p>
            <w:pPr>
              <w:spacing w:after="60"/>
            </w:pPr>
            <w:r>
              <w:rPr>
                <w:sz w:val="18"/>
              </w:rPr>
              <w:t>Nosopsyllus</w:t>
            </w:r>
          </w:p>
        </w:tc>
        <w:tc>
          <w:tcPr>
            <w:tcW w:type="dxa" w:w="1584"/>
            <w:vAlign w:val="center"/>
          </w:tcPr>
          <w:p>
            <w:pPr>
              <w:spacing w:after="60"/>
            </w:pPr>
            <w:r>
              <w:rPr>
                <w:sz w:val="18"/>
              </w:rPr>
              <w:t>таксономическая страница</w:t>
            </w:r>
          </w:p>
        </w:tc>
        <w:tc>
          <w:tcPr>
            <w:tcW w:type="dxa" w:w="1512"/>
            <w:vAlign w:val="center"/>
          </w:tcPr>
          <w:p>
            <w:pPr>
              <w:spacing w:after="60"/>
            </w:pPr>
            <w:r>
              <w:rPr>
                <w:sz w:val="18"/>
              </w:rPr>
              <w:t>основное доказательство</w:t>
            </w:r>
          </w:p>
        </w:tc>
        <w:tc>
          <w:tcPr>
            <w:tcW w:type="dxa" w:w="2808"/>
            <w:vAlign w:val="center"/>
          </w:tcPr>
          <w:p>
            <w:pPr>
              <w:spacing w:after="60"/>
            </w:pPr>
            <w:r>
              <w:rPr>
                <w:sz w:val="18"/>
              </w:rPr>
              <w:t>Bossard et al. 2023. Flea family diversity</w:t>
            </w:r>
          </w:p>
        </w:tc>
        <w:tc>
          <w:tcPr>
            <w:tcW w:type="dxa" w:w="936"/>
            <w:vAlign w:val="center"/>
          </w:tcPr>
          <w:p>
            <w:pPr>
              <w:spacing w:after="60"/>
            </w:pPr>
            <w:r>
              <w:rPr>
                <w:sz w:val="18"/>
              </w:rPr>
            </w:r>
            <w:hyperlink r:id="rId40">
              <w:r>
                <w:rPr>
                  <w:color w:val="245A52"/>
                  <w:u w:val="single"/>
                </w:rPr>
                <w:t>ССЫЛКА</w:t>
              </w:r>
            </w:hyperlink>
          </w:p>
        </w:tc>
        <w:tc>
          <w:tcPr>
            <w:tcW w:type="dxa" w:w="936"/>
            <w:vAlign w:val="center"/>
          </w:tcPr>
          <w:p>
            <w:pPr>
              <w:spacing w:after="60"/>
            </w:pPr>
            <w:r>
              <w:rPr>
                <w:sz w:val="18"/>
              </w:rPr>
            </w:r>
            <w:hyperlink r:id="rId41">
              <w:r>
                <w:rPr>
                  <w:color w:val="245A52"/>
                  <w:u w:val="single"/>
                </w:rPr>
                <w:t>Читать</w:t>
              </w:r>
            </w:hyperlink>
          </w:p>
        </w:tc>
      </w:tr>
      <w:tr>
        <w:tc>
          <w:tcPr>
            <w:tcW w:type="dxa" w:w="792"/>
            <w:vAlign w:val="center"/>
          </w:tcPr>
          <w:p>
            <w:pPr>
              <w:spacing w:after="60"/>
            </w:pPr>
            <w:r>
              <w:rPr>
                <w:sz w:val="18"/>
              </w:rPr>
            </w:r>
            <w:hyperlink r:id="rId22">
              <w:r>
                <w:rPr>
                  <w:color w:val="245A52"/>
                  <w:u w:val="single"/>
                </w:rPr>
                <w:t>[F02]</w:t>
              </w:r>
            </w:hyperlink>
          </w:p>
        </w:tc>
        <w:tc>
          <w:tcPr>
            <w:tcW w:type="dxa" w:w="1368"/>
            <w:vAlign w:val="center"/>
          </w:tcPr>
          <w:p>
            <w:pPr>
              <w:spacing w:after="60"/>
            </w:pPr>
            <w:r>
              <w:rPr>
                <w:sz w:val="18"/>
              </w:rPr>
              <w:t>Nosopsyllus</w:t>
            </w:r>
          </w:p>
        </w:tc>
        <w:tc>
          <w:tcPr>
            <w:tcW w:type="dxa" w:w="1584"/>
            <w:vAlign w:val="center"/>
          </w:tcPr>
          <w:p>
            <w:pPr>
              <w:spacing w:after="60"/>
            </w:pPr>
            <w:r>
              <w:rPr>
                <w:sz w:val="18"/>
              </w:rPr>
              <w:t>молекулярная филогения</w:t>
            </w:r>
          </w:p>
        </w:tc>
        <w:tc>
          <w:tcPr>
            <w:tcW w:type="dxa" w:w="1512"/>
            <w:vAlign w:val="center"/>
          </w:tcPr>
          <w:p>
            <w:pPr>
              <w:spacing w:after="60"/>
            </w:pPr>
            <w:r>
              <w:rPr>
                <w:sz w:val="18"/>
              </w:rPr>
              <w:t>основное доказательство</w:t>
            </w:r>
          </w:p>
        </w:tc>
        <w:tc>
          <w:tcPr>
            <w:tcW w:type="dxa" w:w="2808"/>
            <w:vAlign w:val="center"/>
          </w:tcPr>
          <w:p>
            <w:pPr>
              <w:spacing w:after="60"/>
            </w:pPr>
            <w:r>
              <w:rPr>
                <w:sz w:val="18"/>
              </w:rPr>
              <w:t>Zurita &amp; Matthee 2025. Molecular phylogeny of Ceratophyllomorpha</w:t>
            </w:r>
          </w:p>
        </w:tc>
        <w:tc>
          <w:tcPr>
            <w:tcW w:type="dxa" w:w="936"/>
            <w:vAlign w:val="center"/>
          </w:tcPr>
          <w:p>
            <w:pPr>
              <w:spacing w:after="60"/>
            </w:pPr>
            <w:r>
              <w:rPr>
                <w:sz w:val="18"/>
              </w:rPr>
            </w:r>
            <w:hyperlink r:id="rId42">
              <w:r>
                <w:rPr>
                  <w:color w:val="245A52"/>
                  <w:u w:val="single"/>
                </w:rPr>
                <w:t>ССЫЛКА</w:t>
              </w:r>
            </w:hyperlink>
          </w:p>
        </w:tc>
        <w:tc>
          <w:tcPr>
            <w:tcW w:type="dxa" w:w="936"/>
            <w:vAlign w:val="center"/>
          </w:tcPr>
          <w:p>
            <w:pPr>
              <w:spacing w:after="60"/>
            </w:pPr>
            <w:r>
              <w:rPr>
                <w:sz w:val="18"/>
              </w:rPr>
            </w:r>
            <w:hyperlink r:id="rId43">
              <w:r>
                <w:rPr>
                  <w:color w:val="245A52"/>
                  <w:u w:val="single"/>
                </w:rPr>
                <w:t>Читать</w:t>
              </w:r>
            </w:hyperlink>
          </w:p>
        </w:tc>
      </w:tr>
      <w:tr>
        <w:tc>
          <w:tcPr>
            <w:tcW w:type="dxa" w:w="792"/>
            <w:vAlign w:val="center"/>
          </w:tcPr>
          <w:p>
            <w:pPr>
              <w:spacing w:after="60"/>
            </w:pPr>
            <w:r>
              <w:rPr>
                <w:sz w:val="18"/>
              </w:rPr>
            </w:r>
            <w:hyperlink r:id="rId35">
              <w:r>
                <w:rPr>
                  <w:color w:val="245A52"/>
                  <w:u w:val="single"/>
                </w:rPr>
                <w:t>[F03]</w:t>
              </w:r>
            </w:hyperlink>
          </w:p>
        </w:tc>
        <w:tc>
          <w:tcPr>
            <w:tcW w:type="dxa" w:w="1368"/>
            <w:vAlign w:val="center"/>
          </w:tcPr>
          <w:p>
            <w:pPr>
              <w:spacing w:after="60"/>
            </w:pPr>
            <w:r>
              <w:rPr>
                <w:sz w:val="18"/>
              </w:rPr>
              <w:t>Nosopsyllus</w:t>
            </w:r>
          </w:p>
        </w:tc>
        <w:tc>
          <w:tcPr>
            <w:tcW w:type="dxa" w:w="1584"/>
            <w:vAlign w:val="center"/>
          </w:tcPr>
          <w:p>
            <w:pPr>
              <w:spacing w:after="60"/>
            </w:pPr>
            <w:r>
              <w:rPr>
                <w:sz w:val="18"/>
              </w:rPr>
              <w:t>митогеномика</w:t>
            </w:r>
          </w:p>
        </w:tc>
        <w:tc>
          <w:tcPr>
            <w:tcW w:type="dxa" w:w="1512"/>
            <w:vAlign w:val="center"/>
          </w:tcPr>
          <w:p>
            <w:pPr>
              <w:spacing w:after="60"/>
            </w:pPr>
            <w:r>
              <w:rPr>
                <w:sz w:val="18"/>
              </w:rPr>
              <w:t>дополнительное доказательство</w:t>
            </w:r>
          </w:p>
        </w:tc>
        <w:tc>
          <w:tcPr>
            <w:tcW w:type="dxa" w:w="2808"/>
            <w:vAlign w:val="center"/>
          </w:tcPr>
          <w:p>
            <w:pPr>
              <w:spacing w:after="60"/>
            </w:pPr>
            <w:r>
              <w:rPr>
                <w:sz w:val="18"/>
              </w:rPr>
              <w:t>Fu et al. 2024. Complete mitochondrial genome of Nosopsyllus laeviceps</w:t>
            </w:r>
          </w:p>
        </w:tc>
        <w:tc>
          <w:tcPr>
            <w:tcW w:type="dxa" w:w="936"/>
            <w:vAlign w:val="center"/>
          </w:tcPr>
          <w:p>
            <w:pPr>
              <w:spacing w:after="60"/>
            </w:pPr>
            <w:r>
              <w:rPr>
                <w:sz w:val="18"/>
              </w:rPr>
            </w:r>
            <w:hyperlink r:id="rId44">
              <w:r>
                <w:rPr>
                  <w:color w:val="245A52"/>
                  <w:u w:val="single"/>
                </w:rPr>
                <w:t>ССЫЛКА</w:t>
              </w:r>
            </w:hyperlink>
          </w:p>
        </w:tc>
        <w:tc>
          <w:tcPr>
            <w:tcW w:type="dxa" w:w="936"/>
            <w:vAlign w:val="center"/>
          </w:tcPr>
          <w:p>
            <w:pPr>
              <w:spacing w:after="60"/>
            </w:pPr>
            <w:r>
              <w:rPr>
                <w:sz w:val="18"/>
              </w:rPr>
            </w:r>
            <w:hyperlink r:id="rId45">
              <w:r>
                <w:rPr>
                  <w:color w:val="245A52"/>
                  <w:u w:val="single"/>
                </w:rPr>
                <w:t>Читать</w:t>
              </w:r>
            </w:hyperlink>
          </w:p>
        </w:tc>
      </w:tr>
      <w:tr>
        <w:tc>
          <w:tcPr>
            <w:tcW w:type="dxa" w:w="792"/>
            <w:vAlign w:val="center"/>
          </w:tcPr>
          <w:p>
            <w:pPr>
              <w:spacing w:after="60"/>
            </w:pPr>
            <w:r>
              <w:rPr>
                <w:sz w:val="18"/>
              </w:rPr>
            </w:r>
            <w:hyperlink r:id="rId36">
              <w:r>
                <w:rPr>
                  <w:color w:val="245A52"/>
                  <w:u w:val="single"/>
                </w:rPr>
                <w:t>[F04]</w:t>
              </w:r>
            </w:hyperlink>
          </w:p>
        </w:tc>
        <w:tc>
          <w:tcPr>
            <w:tcW w:type="dxa" w:w="1368"/>
            <w:vAlign w:val="center"/>
          </w:tcPr>
          <w:p>
            <w:pPr>
              <w:spacing w:after="60"/>
            </w:pPr>
            <w:r>
              <w:rPr>
                <w:sz w:val="18"/>
              </w:rPr>
              <w:t>Hystrichopsyllidae</w:t>
            </w:r>
          </w:p>
        </w:tc>
        <w:tc>
          <w:tcPr>
            <w:tcW w:type="dxa" w:w="1584"/>
            <w:vAlign w:val="center"/>
          </w:tcPr>
          <w:p>
            <w:pPr>
              <w:spacing w:after="60"/>
            </w:pPr>
            <w:r>
              <w:rPr>
                <w:sz w:val="18"/>
              </w:rPr>
              <w:t>митогеномика</w:t>
            </w:r>
          </w:p>
        </w:tc>
        <w:tc>
          <w:tcPr>
            <w:tcW w:type="dxa" w:w="1512"/>
            <w:vAlign w:val="center"/>
          </w:tcPr>
          <w:p>
            <w:pPr>
              <w:spacing w:after="60"/>
            </w:pPr>
            <w:r>
              <w:rPr>
                <w:sz w:val="18"/>
              </w:rPr>
              <w:t>дополнительное доказательство</w:t>
            </w:r>
          </w:p>
        </w:tc>
        <w:tc>
          <w:tcPr>
            <w:tcW w:type="dxa" w:w="2808"/>
            <w:vAlign w:val="center"/>
          </w:tcPr>
          <w:p>
            <w:pPr>
              <w:spacing w:after="60"/>
            </w:pPr>
            <w:r>
              <w:rPr>
                <w:sz w:val="18"/>
              </w:rPr>
              <w:t>Zhang et al. 2022. Mitochondrial phylogenomics provides insights into the taxonomy and phylogeny of fleas</w:t>
            </w:r>
          </w:p>
        </w:tc>
        <w:tc>
          <w:tcPr>
            <w:tcW w:type="dxa" w:w="936"/>
            <w:vAlign w:val="center"/>
          </w:tcPr>
          <w:p>
            <w:pPr>
              <w:spacing w:after="60"/>
            </w:pPr>
            <w:r>
              <w:rPr>
                <w:sz w:val="18"/>
              </w:rPr>
            </w:r>
            <w:hyperlink r:id="rId46">
              <w:r>
                <w:rPr>
                  <w:color w:val="245A52"/>
                  <w:u w:val="single"/>
                </w:rPr>
                <w:t>ССЫЛКА</w:t>
              </w:r>
            </w:hyperlink>
          </w:p>
        </w:tc>
        <w:tc>
          <w:tcPr>
            <w:tcW w:type="dxa" w:w="936"/>
            <w:vAlign w:val="center"/>
          </w:tcPr>
          <w:p>
            <w:pPr>
              <w:spacing w:after="60"/>
            </w:pPr>
            <w:r>
              <w:rPr>
                <w:sz w:val="18"/>
              </w:rPr>
            </w:r>
            <w:hyperlink r:id="rId47">
              <w:r>
                <w:rPr>
                  <w:color w:val="245A52"/>
                  <w:u w:val="single"/>
                </w:rPr>
                <w:t>Читать</w:t>
              </w:r>
            </w:hyperlink>
          </w:p>
        </w:tc>
      </w:tr>
      <w:tr>
        <w:tc>
          <w:tcPr>
            <w:tcW w:type="dxa" w:w="792"/>
            <w:vAlign w:val="center"/>
          </w:tcPr>
          <w:p>
            <w:pPr>
              <w:spacing w:after="60"/>
            </w:pPr>
            <w:r>
              <w:rPr>
                <w:sz w:val="18"/>
              </w:rPr>
            </w:r>
            <w:hyperlink r:id="rId23">
              <w:r>
                <w:rPr>
                  <w:color w:val="245A52"/>
                  <w:u w:val="single"/>
                </w:rPr>
                <w:t>[F05]</w:t>
              </w:r>
            </w:hyperlink>
          </w:p>
        </w:tc>
        <w:tc>
          <w:tcPr>
            <w:tcW w:type="dxa" w:w="1368"/>
            <w:vAlign w:val="center"/>
          </w:tcPr>
          <w:p>
            <w:pPr>
              <w:spacing w:after="60"/>
            </w:pPr>
            <w:r>
              <w:rPr>
                <w:sz w:val="18"/>
              </w:rPr>
              <w:t>Hystrichopsyllidae</w:t>
            </w:r>
          </w:p>
        </w:tc>
        <w:tc>
          <w:tcPr>
            <w:tcW w:type="dxa" w:w="1584"/>
            <w:vAlign w:val="center"/>
          </w:tcPr>
          <w:p>
            <w:pPr>
              <w:spacing w:after="60"/>
            </w:pPr>
            <w:r>
              <w:rPr>
                <w:sz w:val="18"/>
              </w:rPr>
              <w:t>митогеномика</w:t>
            </w:r>
          </w:p>
        </w:tc>
        <w:tc>
          <w:tcPr>
            <w:tcW w:type="dxa" w:w="1512"/>
            <w:vAlign w:val="center"/>
          </w:tcPr>
          <w:p>
            <w:pPr>
              <w:spacing w:after="60"/>
            </w:pPr>
            <w:r>
              <w:rPr>
                <w:sz w:val="18"/>
              </w:rPr>
              <w:t>основное доказательство</w:t>
            </w:r>
          </w:p>
        </w:tc>
        <w:tc>
          <w:tcPr>
            <w:tcW w:type="dxa" w:w="2808"/>
            <w:vAlign w:val="center"/>
          </w:tcPr>
          <w:p>
            <w:pPr>
              <w:spacing w:after="60"/>
            </w:pPr>
            <w:r>
              <w:rPr>
                <w:sz w:val="18"/>
              </w:rPr>
              <w:t>Chen et al. 2023. Complete mitochondrial genome of Ctenophthalmus quadratus and Stenischia humilis</w:t>
            </w:r>
          </w:p>
        </w:tc>
        <w:tc>
          <w:tcPr>
            <w:tcW w:type="dxa" w:w="936"/>
            <w:vAlign w:val="center"/>
          </w:tcPr>
          <w:p>
            <w:pPr>
              <w:spacing w:after="60"/>
            </w:pPr>
            <w:r>
              <w:rPr>
                <w:sz w:val="18"/>
              </w:rPr>
            </w:r>
            <w:hyperlink r:id="rId48">
              <w:r>
                <w:rPr>
                  <w:color w:val="245A52"/>
                  <w:u w:val="single"/>
                </w:rPr>
                <w:t>ССЫЛКА</w:t>
              </w:r>
            </w:hyperlink>
          </w:p>
        </w:tc>
        <w:tc>
          <w:tcPr>
            <w:tcW w:type="dxa" w:w="936"/>
            <w:vAlign w:val="center"/>
          </w:tcPr>
          <w:p>
            <w:pPr>
              <w:spacing w:after="60"/>
            </w:pPr>
            <w:r>
              <w:rPr>
                <w:sz w:val="18"/>
              </w:rPr>
            </w:r>
            <w:hyperlink r:id="rId49">
              <w:r>
                <w:rPr>
                  <w:color w:val="245A52"/>
                  <w:u w:val="single"/>
                </w:rPr>
                <w:t>Читать</w:t>
              </w:r>
            </w:hyperlink>
          </w:p>
        </w:tc>
      </w:tr>
      <w:tr>
        <w:tc>
          <w:tcPr>
            <w:tcW w:type="dxa" w:w="792"/>
            <w:vAlign w:val="center"/>
          </w:tcPr>
          <w:p>
            <w:pPr>
              <w:spacing w:after="60"/>
            </w:pPr>
            <w:r>
              <w:rPr>
                <w:sz w:val="18"/>
              </w:rPr>
            </w:r>
            <w:hyperlink r:id="rId24">
              <w:r>
                <w:rPr>
                  <w:color w:val="245A52"/>
                  <w:u w:val="single"/>
                </w:rPr>
                <w:t>[F06]</w:t>
              </w:r>
            </w:hyperlink>
          </w:p>
        </w:tc>
        <w:tc>
          <w:tcPr>
            <w:tcW w:type="dxa" w:w="1368"/>
            <w:vAlign w:val="center"/>
          </w:tcPr>
          <w:p>
            <w:pPr>
              <w:spacing w:after="60"/>
            </w:pPr>
            <w:r>
              <w:rPr>
                <w:sz w:val="18"/>
              </w:rPr>
              <w:t>Hystrichopsyllidae</w:t>
            </w:r>
          </w:p>
        </w:tc>
        <w:tc>
          <w:tcPr>
            <w:tcW w:type="dxa" w:w="1584"/>
            <w:vAlign w:val="center"/>
          </w:tcPr>
          <w:p>
            <w:pPr>
              <w:spacing w:after="60"/>
            </w:pPr>
            <w:r>
              <w:rPr>
                <w:sz w:val="18"/>
              </w:rPr>
              <w:t>митогеномика</w:t>
            </w:r>
          </w:p>
        </w:tc>
        <w:tc>
          <w:tcPr>
            <w:tcW w:type="dxa" w:w="1512"/>
            <w:vAlign w:val="center"/>
          </w:tcPr>
          <w:p>
            <w:pPr>
              <w:spacing w:after="60"/>
            </w:pPr>
            <w:r>
              <w:rPr>
                <w:sz w:val="18"/>
              </w:rPr>
              <w:t>основное доказательство</w:t>
            </w:r>
          </w:p>
        </w:tc>
        <w:tc>
          <w:tcPr>
            <w:tcW w:type="dxa" w:w="2808"/>
            <w:vAlign w:val="center"/>
          </w:tcPr>
          <w:p>
            <w:pPr>
              <w:spacing w:after="60"/>
            </w:pPr>
            <w:r>
              <w:rPr>
                <w:sz w:val="18"/>
              </w:rPr>
              <w:t>Tan et al. 2023. Complete mitochondrial genome of Hystrichopsylla weida qinlingensis</w:t>
            </w:r>
          </w:p>
        </w:tc>
        <w:tc>
          <w:tcPr>
            <w:tcW w:type="dxa" w:w="936"/>
            <w:vAlign w:val="center"/>
          </w:tcPr>
          <w:p>
            <w:pPr>
              <w:spacing w:after="60"/>
            </w:pPr>
            <w:r>
              <w:rPr>
                <w:sz w:val="18"/>
              </w:rPr>
            </w:r>
            <w:hyperlink r:id="rId50">
              <w:r>
                <w:rPr>
                  <w:color w:val="245A52"/>
                  <w:u w:val="single"/>
                </w:rPr>
                <w:t>ССЫЛКА</w:t>
              </w:r>
            </w:hyperlink>
          </w:p>
        </w:tc>
        <w:tc>
          <w:tcPr>
            <w:tcW w:type="dxa" w:w="936"/>
            <w:vAlign w:val="center"/>
          </w:tcPr>
          <w:p>
            <w:pPr>
              <w:spacing w:after="60"/>
            </w:pPr>
            <w:r>
              <w:rPr>
                <w:sz w:val="18"/>
              </w:rPr>
            </w:r>
            <w:hyperlink r:id="rId51">
              <w:r>
                <w:rPr>
                  <w:color w:val="245A52"/>
                  <w:u w:val="single"/>
                </w:rPr>
                <w:t>Читать</w:t>
              </w:r>
            </w:hyperlink>
          </w:p>
        </w:tc>
      </w:tr>
      <w:tr>
        <w:tc>
          <w:tcPr>
            <w:tcW w:type="dxa" w:w="792"/>
            <w:vAlign w:val="center"/>
          </w:tcPr>
          <w:p>
            <w:pPr>
              <w:spacing w:after="60"/>
            </w:pPr>
            <w:r>
              <w:rPr>
                <w:sz w:val="18"/>
              </w:rPr>
            </w:r>
            <w:hyperlink r:id="rId25">
              <w:r>
                <w:rPr>
                  <w:color w:val="245A52"/>
                  <w:u w:val="single"/>
                </w:rPr>
                <w:t>[F07]</w:t>
              </w:r>
            </w:hyperlink>
          </w:p>
        </w:tc>
        <w:tc>
          <w:tcPr>
            <w:tcW w:type="dxa" w:w="1368"/>
            <w:vAlign w:val="center"/>
          </w:tcPr>
          <w:p>
            <w:pPr>
              <w:spacing w:after="60"/>
            </w:pPr>
            <w:r>
              <w:rPr>
                <w:sz w:val="18"/>
              </w:rPr>
              <w:t>Hystrichopsyllidae</w:t>
            </w:r>
          </w:p>
        </w:tc>
        <w:tc>
          <w:tcPr>
            <w:tcW w:type="dxa" w:w="1584"/>
            <w:vAlign w:val="center"/>
          </w:tcPr>
          <w:p>
            <w:pPr>
              <w:spacing w:after="60"/>
            </w:pPr>
            <w:r>
              <w:rPr>
                <w:sz w:val="18"/>
              </w:rPr>
              <w:t>митогеномика</w:t>
            </w:r>
          </w:p>
        </w:tc>
        <w:tc>
          <w:tcPr>
            <w:tcW w:type="dxa" w:w="1512"/>
            <w:vAlign w:val="center"/>
          </w:tcPr>
          <w:p>
            <w:pPr>
              <w:spacing w:after="60"/>
            </w:pPr>
            <w:r>
              <w:rPr>
                <w:sz w:val="18"/>
              </w:rPr>
              <w:t>дополнительное доказательство</w:t>
            </w:r>
          </w:p>
        </w:tc>
        <w:tc>
          <w:tcPr>
            <w:tcW w:type="dxa" w:w="2808"/>
            <w:vAlign w:val="center"/>
          </w:tcPr>
          <w:p>
            <w:pPr>
              <w:spacing w:after="60"/>
            </w:pPr>
            <w:r>
              <w:rPr>
                <w:sz w:val="18"/>
              </w:rPr>
              <w:t>Chen et al. 2024. Mitochondrial genomes of Paradoxopsyllus custodis and Stenischia montanis yunlongensis</w:t>
            </w:r>
          </w:p>
        </w:tc>
        <w:tc>
          <w:tcPr>
            <w:tcW w:type="dxa" w:w="936"/>
            <w:vAlign w:val="center"/>
          </w:tcPr>
          <w:p>
            <w:pPr>
              <w:spacing w:after="60"/>
            </w:pPr>
            <w:r>
              <w:rPr>
                <w:sz w:val="18"/>
              </w:rPr>
            </w:r>
            <w:hyperlink r:id="rId52">
              <w:r>
                <w:rPr>
                  <w:color w:val="245A52"/>
                  <w:u w:val="single"/>
                </w:rPr>
                <w:t>ССЫЛКА</w:t>
              </w:r>
            </w:hyperlink>
          </w:p>
        </w:tc>
        <w:tc>
          <w:tcPr>
            <w:tcW w:type="dxa" w:w="936"/>
            <w:vAlign w:val="center"/>
          </w:tcPr>
          <w:p>
            <w:pPr>
              <w:spacing w:after="60"/>
            </w:pPr>
            <w:r>
              <w:rPr>
                <w:sz w:val="18"/>
              </w:rPr>
            </w:r>
            <w:hyperlink r:id="rId53">
              <w:r>
                <w:rPr>
                  <w:color w:val="245A52"/>
                  <w:u w:val="single"/>
                </w:rPr>
                <w:t>Читать</w:t>
              </w:r>
            </w:hyperlink>
          </w:p>
        </w:tc>
      </w:tr>
      <w:tr>
        <w:tc>
          <w:tcPr>
            <w:tcW w:type="dxa" w:w="792"/>
            <w:vAlign w:val="center"/>
          </w:tcPr>
          <w:p>
            <w:pPr>
              <w:spacing w:after="60"/>
            </w:pPr>
            <w:r>
              <w:rPr>
                <w:sz w:val="18"/>
              </w:rPr>
            </w:r>
            <w:hyperlink r:id="rId26">
              <w:r>
                <w:rPr>
                  <w:color w:val="245A52"/>
                  <w:u w:val="single"/>
                </w:rPr>
                <w:t>[F08]</w:t>
              </w:r>
            </w:hyperlink>
          </w:p>
        </w:tc>
        <w:tc>
          <w:tcPr>
            <w:tcW w:type="dxa" w:w="1368"/>
            <w:vAlign w:val="center"/>
          </w:tcPr>
          <w:p>
            <w:pPr>
              <w:spacing w:after="60"/>
            </w:pPr>
            <w:r>
              <w:rPr>
                <w:sz w:val="18"/>
              </w:rPr>
              <w:t>Hystrichopsyllidae</w:t>
            </w:r>
          </w:p>
        </w:tc>
        <w:tc>
          <w:tcPr>
            <w:tcW w:type="dxa" w:w="1584"/>
            <w:vAlign w:val="center"/>
          </w:tcPr>
          <w:p>
            <w:pPr>
              <w:spacing w:after="60"/>
            </w:pPr>
            <w:r>
              <w:rPr>
                <w:sz w:val="18"/>
              </w:rPr>
              <w:t>таксономическая страница</w:t>
            </w:r>
          </w:p>
        </w:tc>
        <w:tc>
          <w:tcPr>
            <w:tcW w:type="dxa" w:w="1512"/>
            <w:vAlign w:val="center"/>
          </w:tcPr>
          <w:p>
            <w:pPr>
              <w:spacing w:after="60"/>
            </w:pPr>
            <w:r>
              <w:rPr>
                <w:sz w:val="18"/>
              </w:rPr>
              <w:t>основное доказательство</w:t>
            </w:r>
          </w:p>
        </w:tc>
        <w:tc>
          <w:tcPr>
            <w:tcW w:type="dxa" w:w="2808"/>
            <w:vAlign w:val="center"/>
          </w:tcPr>
          <w:p>
            <w:pPr>
              <w:spacing w:after="60"/>
            </w:pPr>
            <w:r>
              <w:rPr>
                <w:sz w:val="18"/>
              </w:rPr>
              <w:t>Zhou et al. 2024. Taxonomy and phylogeny of rodents parasitic fleas in southeastern China</w:t>
            </w:r>
          </w:p>
        </w:tc>
        <w:tc>
          <w:tcPr>
            <w:tcW w:type="dxa" w:w="936"/>
            <w:vAlign w:val="center"/>
          </w:tcPr>
          <w:p>
            <w:pPr>
              <w:spacing w:after="60"/>
            </w:pPr>
            <w:r>
              <w:rPr>
                <w:sz w:val="18"/>
              </w:rPr>
            </w:r>
            <w:hyperlink r:id="rId54">
              <w:r>
                <w:rPr>
                  <w:color w:val="245A52"/>
                  <w:u w:val="single"/>
                </w:rPr>
                <w:t>ССЫЛКА</w:t>
              </w:r>
            </w:hyperlink>
          </w:p>
        </w:tc>
        <w:tc>
          <w:tcPr>
            <w:tcW w:type="dxa" w:w="936"/>
            <w:vAlign w:val="center"/>
          </w:tcPr>
          <w:p>
            <w:pPr>
              <w:spacing w:after="60"/>
            </w:pPr>
            <w:r>
              <w:rPr>
                <w:sz w:val="18"/>
              </w:rPr>
            </w:r>
            <w:hyperlink r:id="rId55">
              <w:r>
                <w:rPr>
                  <w:color w:val="245A52"/>
                  <w:u w:val="single"/>
                </w:rPr>
                <w:t>Читать</w:t>
              </w:r>
            </w:hyperlink>
          </w:p>
        </w:tc>
      </w:tr>
      <w:tr>
        <w:tc>
          <w:tcPr>
            <w:tcW w:type="dxa" w:w="792"/>
            <w:vAlign w:val="center"/>
          </w:tcPr>
          <w:p>
            <w:pPr>
              <w:spacing w:after="60"/>
            </w:pPr>
            <w:r>
              <w:rPr>
                <w:sz w:val="18"/>
              </w:rPr>
            </w:r>
            <w:hyperlink r:id="rId27">
              <w:r>
                <w:rPr>
                  <w:color w:val="245A52"/>
                  <w:u w:val="single"/>
                </w:rPr>
                <w:t>[F09]</w:t>
              </w:r>
            </w:hyperlink>
          </w:p>
        </w:tc>
        <w:tc>
          <w:tcPr>
            <w:tcW w:type="dxa" w:w="1368"/>
            <w:vAlign w:val="center"/>
          </w:tcPr>
          <w:p>
            <w:pPr>
              <w:spacing w:after="60"/>
            </w:pPr>
            <w:r>
              <w:rPr>
                <w:sz w:val="18"/>
              </w:rPr>
              <w:t>Nosopsyllus</w:t>
            </w:r>
          </w:p>
        </w:tc>
        <w:tc>
          <w:tcPr>
            <w:tcW w:type="dxa" w:w="1584"/>
            <w:vAlign w:val="center"/>
          </w:tcPr>
          <w:p>
            <w:pPr>
              <w:spacing w:after="60"/>
            </w:pPr>
            <w:r>
              <w:rPr>
                <w:sz w:val="18"/>
              </w:rPr>
              <w:t>таксономическая страница</w:t>
            </w:r>
          </w:p>
        </w:tc>
        <w:tc>
          <w:tcPr>
            <w:tcW w:type="dxa" w:w="1512"/>
            <w:vAlign w:val="center"/>
          </w:tcPr>
          <w:p>
            <w:pPr>
              <w:spacing w:after="60"/>
            </w:pPr>
            <w:r>
              <w:rPr>
                <w:sz w:val="18"/>
              </w:rPr>
              <w:t>справочная проверка</w:t>
            </w:r>
          </w:p>
        </w:tc>
        <w:tc>
          <w:tcPr>
            <w:tcW w:type="dxa" w:w="2808"/>
            <w:vAlign w:val="center"/>
          </w:tcPr>
          <w:p>
            <w:pPr>
              <w:spacing w:after="60"/>
            </w:pPr>
            <w:r>
              <w:rPr>
                <w:sz w:val="18"/>
              </w:rPr>
              <w:t>EPPO Global Database. Nosopsyllus fasciatus</w:t>
            </w:r>
          </w:p>
        </w:tc>
        <w:tc>
          <w:tcPr>
            <w:tcW w:type="dxa" w:w="936"/>
            <w:vAlign w:val="center"/>
          </w:tcPr>
          <w:p>
            <w:pPr>
              <w:spacing w:after="60"/>
            </w:pPr>
            <w:r>
              <w:rPr>
                <w:sz w:val="18"/>
              </w:rPr>
            </w:r>
            <w:hyperlink r:id="rId56">
              <w:r>
                <w:rPr>
                  <w:color w:val="245A52"/>
                  <w:u w:val="single"/>
                </w:rPr>
                <w:t>ССЫЛКА</w:t>
              </w:r>
            </w:hyperlink>
          </w:p>
        </w:tc>
        <w:tc>
          <w:tcPr>
            <w:tcW w:type="dxa" w:w="936"/>
            <w:vAlign w:val="center"/>
          </w:tcPr>
          <w:p>
            <w:pPr>
              <w:spacing w:after="60"/>
            </w:pPr>
            <w:r>
              <w:rPr>
                <w:sz w:val="18"/>
              </w:rPr>
            </w:r>
            <w:hyperlink r:id="rId57">
              <w:r>
                <w:rPr>
                  <w:color w:val="245A52"/>
                  <w:u w:val="single"/>
                </w:rPr>
                <w:t>Читать</w:t>
              </w:r>
            </w:hyperlink>
          </w:p>
        </w:tc>
      </w:tr>
      <w:tr>
        <w:tc>
          <w:tcPr>
            <w:tcW w:type="dxa" w:w="792"/>
            <w:vAlign w:val="center"/>
          </w:tcPr>
          <w:p>
            <w:pPr>
              <w:spacing w:after="60"/>
            </w:pPr>
            <w:r>
              <w:rPr>
                <w:sz w:val="18"/>
              </w:rPr>
            </w:r>
            <w:hyperlink r:id="rId28">
              <w:r>
                <w:rPr>
                  <w:color w:val="245A52"/>
                  <w:u w:val="single"/>
                </w:rPr>
                <w:t>[T01]</w:t>
              </w:r>
            </w:hyperlink>
          </w:p>
        </w:tc>
        <w:tc>
          <w:tcPr>
            <w:tcW w:type="dxa" w:w="1368"/>
            <w:vAlign w:val="center"/>
          </w:tcPr>
          <w:p>
            <w:pPr>
              <w:spacing w:after="60"/>
            </w:pPr>
            <w:r>
              <w:rPr>
                <w:sz w:val="18"/>
              </w:rPr>
              <w:t>Hyalomma</w:t>
            </w:r>
          </w:p>
        </w:tc>
        <w:tc>
          <w:tcPr>
            <w:tcW w:type="dxa" w:w="1584"/>
            <w:vAlign w:val="center"/>
          </w:tcPr>
          <w:p>
            <w:pPr>
              <w:spacing w:after="60"/>
            </w:pPr>
            <w:r>
              <w:rPr>
                <w:sz w:val="18"/>
              </w:rPr>
              <w:t>морфология</w:t>
            </w:r>
          </w:p>
        </w:tc>
        <w:tc>
          <w:tcPr>
            <w:tcW w:type="dxa" w:w="1512"/>
            <w:vAlign w:val="center"/>
          </w:tcPr>
          <w:p>
            <w:pPr>
              <w:spacing w:after="60"/>
            </w:pPr>
            <w:r>
              <w:rPr>
                <w:sz w:val="18"/>
              </w:rPr>
              <w:t>основное доказательство</w:t>
            </w:r>
          </w:p>
        </w:tc>
        <w:tc>
          <w:tcPr>
            <w:tcW w:type="dxa" w:w="2808"/>
            <w:vAlign w:val="center"/>
          </w:tcPr>
          <w:p>
            <w:pPr>
              <w:spacing w:after="60"/>
            </w:pPr>
            <w:r>
              <w:rPr>
                <w:sz w:val="18"/>
              </w:rPr>
              <w:t>Apanaskevich, Filippova &amp; Horak 2010. Redescription of H. scupense (= H. detritum)</w:t>
            </w:r>
          </w:p>
        </w:tc>
        <w:tc>
          <w:tcPr>
            <w:tcW w:type="dxa" w:w="936"/>
            <w:vAlign w:val="center"/>
          </w:tcPr>
          <w:p>
            <w:pPr>
              <w:spacing w:after="60"/>
            </w:pPr>
            <w:r>
              <w:rPr>
                <w:sz w:val="18"/>
              </w:rPr>
            </w:r>
            <w:hyperlink r:id="rId58">
              <w:r>
                <w:rPr>
                  <w:color w:val="245A52"/>
                  <w:u w:val="single"/>
                </w:rPr>
                <w:t>ССЫЛКА</w:t>
              </w:r>
            </w:hyperlink>
          </w:p>
        </w:tc>
        <w:tc>
          <w:tcPr>
            <w:tcW w:type="dxa" w:w="936"/>
            <w:vAlign w:val="center"/>
          </w:tcPr>
          <w:p>
            <w:pPr>
              <w:spacing w:after="60"/>
            </w:pPr>
            <w:r>
              <w:rPr>
                <w:sz w:val="18"/>
              </w:rPr>
            </w:r>
            <w:hyperlink r:id="rId59">
              <w:r>
                <w:rPr>
                  <w:color w:val="245A52"/>
                  <w:u w:val="single"/>
                </w:rPr>
                <w:t>Читать</w:t>
              </w:r>
            </w:hyperlink>
          </w:p>
        </w:tc>
      </w:tr>
      <w:tr>
        <w:tc>
          <w:tcPr>
            <w:tcW w:type="dxa" w:w="792"/>
            <w:vAlign w:val="center"/>
          </w:tcPr>
          <w:p>
            <w:pPr>
              <w:spacing w:after="60"/>
            </w:pPr>
            <w:r>
              <w:rPr>
                <w:sz w:val="18"/>
              </w:rPr>
            </w:r>
            <w:hyperlink r:id="rId29">
              <w:r>
                <w:rPr>
                  <w:color w:val="245A52"/>
                  <w:u w:val="single"/>
                </w:rPr>
                <w:t>[T02]</w:t>
              </w:r>
            </w:hyperlink>
          </w:p>
        </w:tc>
        <w:tc>
          <w:tcPr>
            <w:tcW w:type="dxa" w:w="1368"/>
            <w:vAlign w:val="center"/>
          </w:tcPr>
          <w:p>
            <w:pPr>
              <w:spacing w:after="60"/>
            </w:pPr>
            <w:r>
              <w:rPr>
                <w:sz w:val="18"/>
              </w:rPr>
              <w:t>Hyalomma</w:t>
            </w:r>
          </w:p>
        </w:tc>
        <w:tc>
          <w:tcPr>
            <w:tcW w:type="dxa" w:w="1584"/>
            <w:vAlign w:val="center"/>
          </w:tcPr>
          <w:p>
            <w:pPr>
              <w:spacing w:after="60"/>
            </w:pPr>
            <w:r>
              <w:rPr>
                <w:sz w:val="18"/>
              </w:rPr>
              <w:t>таксономическая страница</w:t>
            </w:r>
          </w:p>
        </w:tc>
        <w:tc>
          <w:tcPr>
            <w:tcW w:type="dxa" w:w="1512"/>
            <w:vAlign w:val="center"/>
          </w:tcPr>
          <w:p>
            <w:pPr>
              <w:spacing w:after="60"/>
            </w:pPr>
            <w:r>
              <w:rPr>
                <w:sz w:val="18"/>
              </w:rPr>
              <w:t>основное доказательство</w:t>
            </w:r>
          </w:p>
        </w:tc>
        <w:tc>
          <w:tcPr>
            <w:tcW w:type="dxa" w:w="2808"/>
            <w:vAlign w:val="center"/>
          </w:tcPr>
          <w:p>
            <w:pPr>
              <w:spacing w:after="60"/>
            </w:pPr>
            <w:r>
              <w:rPr>
                <w:sz w:val="18"/>
              </w:rPr>
              <w:t>Филиппова 2003. Переисследование типовых серий H. scupense и H. detritum</w:t>
            </w:r>
          </w:p>
        </w:tc>
        <w:tc>
          <w:tcPr>
            <w:tcW w:type="dxa" w:w="936"/>
            <w:vAlign w:val="center"/>
          </w:tcPr>
          <w:p>
            <w:pPr>
              <w:spacing w:after="60"/>
            </w:pPr>
            <w:r>
              <w:rPr>
                <w:sz w:val="18"/>
              </w:rPr>
            </w:r>
            <w:hyperlink r:id="rId60">
              <w:r>
                <w:rPr>
                  <w:color w:val="245A52"/>
                  <w:u w:val="single"/>
                </w:rPr>
                <w:t>ССЫЛКА</w:t>
              </w:r>
            </w:hyperlink>
          </w:p>
        </w:tc>
        <w:tc>
          <w:tcPr>
            <w:tcW w:type="dxa" w:w="936"/>
            <w:vAlign w:val="center"/>
          </w:tcPr>
          <w:p>
            <w:pPr>
              <w:spacing w:after="60"/>
            </w:pPr>
            <w:r>
              <w:rPr>
                <w:sz w:val="18"/>
              </w:rPr>
            </w:r>
            <w:hyperlink r:id="rId61">
              <w:r>
                <w:rPr>
                  <w:color w:val="245A52"/>
                  <w:u w:val="single"/>
                </w:rPr>
                <w:t>Читать</w:t>
              </w:r>
            </w:hyperlink>
          </w:p>
        </w:tc>
      </w:tr>
      <w:tr>
        <w:tc>
          <w:tcPr>
            <w:tcW w:type="dxa" w:w="792"/>
            <w:vAlign w:val="center"/>
          </w:tcPr>
          <w:p>
            <w:pPr>
              <w:spacing w:after="60"/>
            </w:pPr>
            <w:r>
              <w:rPr>
                <w:sz w:val="18"/>
              </w:rPr>
            </w:r>
            <w:hyperlink r:id="rId30">
              <w:r>
                <w:rPr>
                  <w:color w:val="245A52"/>
                  <w:u w:val="single"/>
                </w:rPr>
                <w:t>[T03]</w:t>
              </w:r>
            </w:hyperlink>
          </w:p>
        </w:tc>
        <w:tc>
          <w:tcPr>
            <w:tcW w:type="dxa" w:w="1368"/>
            <w:vAlign w:val="center"/>
          </w:tcPr>
          <w:p>
            <w:pPr>
              <w:spacing w:after="60"/>
            </w:pPr>
            <w:r>
              <w:rPr>
                <w:sz w:val="18"/>
              </w:rPr>
              <w:t>Hyalomma</w:t>
            </w:r>
          </w:p>
        </w:tc>
        <w:tc>
          <w:tcPr>
            <w:tcW w:type="dxa" w:w="1584"/>
            <w:vAlign w:val="center"/>
          </w:tcPr>
          <w:p>
            <w:pPr>
              <w:spacing w:after="60"/>
            </w:pPr>
            <w:r>
              <w:rPr>
                <w:sz w:val="18"/>
              </w:rPr>
              <w:t>экология/жизненный цикл</w:t>
            </w:r>
          </w:p>
        </w:tc>
        <w:tc>
          <w:tcPr>
            <w:tcW w:type="dxa" w:w="1512"/>
            <w:vAlign w:val="center"/>
          </w:tcPr>
          <w:p>
            <w:pPr>
              <w:spacing w:after="60"/>
            </w:pPr>
            <w:r>
              <w:rPr>
                <w:sz w:val="18"/>
              </w:rPr>
              <w:t>основное доказательство</w:t>
            </w:r>
          </w:p>
        </w:tc>
        <w:tc>
          <w:tcPr>
            <w:tcW w:type="dxa" w:w="2808"/>
            <w:vAlign w:val="center"/>
          </w:tcPr>
          <w:p>
            <w:pPr>
              <w:spacing w:after="60"/>
            </w:pPr>
            <w:r>
              <w:rPr>
                <w:sz w:val="18"/>
              </w:rPr>
              <w:t>Gharbi &amp; Darghouth 2014. Review of H. scupense in the Maghreb</w:t>
            </w:r>
          </w:p>
        </w:tc>
        <w:tc>
          <w:tcPr>
            <w:tcW w:type="dxa" w:w="936"/>
            <w:vAlign w:val="center"/>
          </w:tcPr>
          <w:p>
            <w:pPr>
              <w:spacing w:after="60"/>
            </w:pPr>
            <w:r>
              <w:rPr>
                <w:sz w:val="18"/>
              </w:rPr>
            </w:r>
            <w:hyperlink r:id="rId62">
              <w:r>
                <w:rPr>
                  <w:color w:val="245A52"/>
                  <w:u w:val="single"/>
                </w:rPr>
                <w:t>ССЫЛКА</w:t>
              </w:r>
            </w:hyperlink>
          </w:p>
        </w:tc>
        <w:tc>
          <w:tcPr>
            <w:tcW w:type="dxa" w:w="936"/>
            <w:vAlign w:val="center"/>
          </w:tcPr>
          <w:p>
            <w:pPr>
              <w:spacing w:after="60"/>
            </w:pPr>
            <w:r>
              <w:rPr>
                <w:sz w:val="18"/>
              </w:rPr>
            </w:r>
            <w:hyperlink r:id="rId63">
              <w:r>
                <w:rPr>
                  <w:color w:val="245A52"/>
                  <w:u w:val="single"/>
                </w:rPr>
                <w:t>Читать</w:t>
              </w:r>
            </w:hyperlink>
          </w:p>
        </w:tc>
      </w:tr>
      <w:tr>
        <w:tc>
          <w:tcPr>
            <w:tcW w:type="dxa" w:w="792"/>
            <w:vAlign w:val="center"/>
          </w:tcPr>
          <w:p>
            <w:pPr>
              <w:spacing w:after="60"/>
            </w:pPr>
            <w:r>
              <w:rPr>
                <w:sz w:val="18"/>
              </w:rPr>
            </w:r>
            <w:hyperlink r:id="rId31">
              <w:r>
                <w:rPr>
                  <w:color w:val="245A52"/>
                  <w:u w:val="single"/>
                </w:rPr>
                <w:t>[T04]</w:t>
              </w:r>
            </w:hyperlink>
          </w:p>
        </w:tc>
        <w:tc>
          <w:tcPr>
            <w:tcW w:type="dxa" w:w="1368"/>
            <w:vAlign w:val="center"/>
          </w:tcPr>
          <w:p>
            <w:pPr>
              <w:spacing w:after="60"/>
            </w:pPr>
            <w:r>
              <w:rPr>
                <w:sz w:val="18"/>
              </w:rPr>
              <w:t>Hyalomma</w:t>
            </w:r>
          </w:p>
        </w:tc>
        <w:tc>
          <w:tcPr>
            <w:tcW w:type="dxa" w:w="1584"/>
            <w:vAlign w:val="center"/>
          </w:tcPr>
          <w:p>
            <w:pPr>
              <w:spacing w:after="60"/>
            </w:pPr>
            <w:r>
              <w:rPr>
                <w:sz w:val="18"/>
              </w:rPr>
              <w:t>экология/жизненный цикл</w:t>
            </w:r>
          </w:p>
        </w:tc>
        <w:tc>
          <w:tcPr>
            <w:tcW w:type="dxa" w:w="1512"/>
            <w:vAlign w:val="center"/>
          </w:tcPr>
          <w:p>
            <w:pPr>
              <w:spacing w:after="60"/>
            </w:pPr>
            <w:r>
              <w:rPr>
                <w:sz w:val="18"/>
              </w:rPr>
              <w:t>основное доказательство</w:t>
            </w:r>
          </w:p>
        </w:tc>
        <w:tc>
          <w:tcPr>
            <w:tcW w:type="dxa" w:w="2808"/>
            <w:vAlign w:val="center"/>
          </w:tcPr>
          <w:p>
            <w:pPr>
              <w:spacing w:after="60"/>
            </w:pPr>
            <w:r>
              <w:rPr>
                <w:sz w:val="18"/>
              </w:rPr>
              <w:t>Elati et al. 2024. In vitro feeding of Hyalomma scupense and related species</w:t>
            </w:r>
          </w:p>
        </w:tc>
        <w:tc>
          <w:tcPr>
            <w:tcW w:type="dxa" w:w="936"/>
            <w:vAlign w:val="center"/>
          </w:tcPr>
          <w:p>
            <w:pPr>
              <w:spacing w:after="60"/>
            </w:pPr>
            <w:r>
              <w:rPr>
                <w:sz w:val="18"/>
              </w:rPr>
            </w:r>
            <w:hyperlink r:id="rId64">
              <w:r>
                <w:rPr>
                  <w:color w:val="245A52"/>
                  <w:u w:val="single"/>
                </w:rPr>
                <w:t>ССЫЛКА</w:t>
              </w:r>
            </w:hyperlink>
          </w:p>
        </w:tc>
        <w:tc>
          <w:tcPr>
            <w:tcW w:type="dxa" w:w="936"/>
            <w:vAlign w:val="center"/>
          </w:tcPr>
          <w:p>
            <w:pPr>
              <w:spacing w:after="60"/>
            </w:pPr>
            <w:r>
              <w:rPr>
                <w:sz w:val="18"/>
              </w:rPr>
            </w:r>
            <w:hyperlink r:id="rId65">
              <w:r>
                <w:rPr>
                  <w:color w:val="245A52"/>
                  <w:u w:val="single"/>
                </w:rPr>
                <w:t>Читать</w:t>
              </w:r>
            </w:hyperlink>
          </w:p>
        </w:tc>
      </w:tr>
      <w:tr>
        <w:tc>
          <w:tcPr>
            <w:tcW w:type="dxa" w:w="792"/>
            <w:vAlign w:val="center"/>
          </w:tcPr>
          <w:p>
            <w:pPr>
              <w:spacing w:after="60"/>
            </w:pPr>
            <w:r>
              <w:rPr>
                <w:sz w:val="18"/>
              </w:rPr>
            </w:r>
            <w:hyperlink r:id="rId32">
              <w:r>
                <w:rPr>
                  <w:color w:val="245A52"/>
                  <w:u w:val="single"/>
                </w:rPr>
                <w:t>[T05]</w:t>
              </w:r>
            </w:hyperlink>
          </w:p>
        </w:tc>
        <w:tc>
          <w:tcPr>
            <w:tcW w:type="dxa" w:w="1368"/>
            <w:vAlign w:val="center"/>
          </w:tcPr>
          <w:p>
            <w:pPr>
              <w:spacing w:after="60"/>
            </w:pPr>
            <w:r>
              <w:rPr>
                <w:sz w:val="18"/>
              </w:rPr>
              <w:t>Hyalomma</w:t>
            </w:r>
          </w:p>
        </w:tc>
        <w:tc>
          <w:tcPr>
            <w:tcW w:type="dxa" w:w="1584"/>
            <w:vAlign w:val="center"/>
          </w:tcPr>
          <w:p>
            <w:pPr>
              <w:spacing w:after="60"/>
            </w:pPr>
            <w:r>
              <w:rPr>
                <w:sz w:val="18"/>
              </w:rPr>
              <w:t>региональные наблюдения</w:t>
            </w:r>
          </w:p>
        </w:tc>
        <w:tc>
          <w:tcPr>
            <w:tcW w:type="dxa" w:w="1512"/>
            <w:vAlign w:val="center"/>
          </w:tcPr>
          <w:p>
            <w:pPr>
              <w:spacing w:after="60"/>
            </w:pPr>
            <w:r>
              <w:rPr>
                <w:sz w:val="18"/>
              </w:rPr>
              <w:t>дополнительное доказательство</w:t>
            </w:r>
          </w:p>
        </w:tc>
        <w:tc>
          <w:tcPr>
            <w:tcW w:type="dxa" w:w="2808"/>
            <w:vAlign w:val="center"/>
          </w:tcPr>
          <w:p>
            <w:pPr>
              <w:spacing w:after="60"/>
            </w:pPr>
            <w:r>
              <w:rPr>
                <w:sz w:val="18"/>
              </w:rPr>
              <w:t>Grech-Angelini et al. 2016. First report of H. scupense on Corsica</w:t>
            </w:r>
          </w:p>
        </w:tc>
        <w:tc>
          <w:tcPr>
            <w:tcW w:type="dxa" w:w="936"/>
            <w:vAlign w:val="center"/>
          </w:tcPr>
          <w:p>
            <w:pPr>
              <w:spacing w:after="60"/>
            </w:pPr>
            <w:r>
              <w:rPr>
                <w:sz w:val="18"/>
              </w:rPr>
            </w:r>
            <w:hyperlink r:id="rId66">
              <w:r>
                <w:rPr>
                  <w:color w:val="245A52"/>
                  <w:u w:val="single"/>
                </w:rPr>
                <w:t>ССЫЛКА</w:t>
              </w:r>
            </w:hyperlink>
          </w:p>
        </w:tc>
        <w:tc>
          <w:tcPr>
            <w:tcW w:type="dxa" w:w="936"/>
            <w:vAlign w:val="center"/>
          </w:tcPr>
          <w:p>
            <w:pPr>
              <w:spacing w:after="60"/>
            </w:pPr>
            <w:r>
              <w:rPr>
                <w:sz w:val="18"/>
              </w:rPr>
            </w:r>
            <w:hyperlink r:id="rId67">
              <w:r>
                <w:rPr>
                  <w:color w:val="245A52"/>
                  <w:u w:val="single"/>
                </w:rPr>
                <w:t>Читать</w:t>
              </w:r>
            </w:hyperlink>
          </w:p>
        </w:tc>
      </w:tr>
      <w:tr>
        <w:tc>
          <w:tcPr>
            <w:tcW w:type="dxa" w:w="792"/>
            <w:vAlign w:val="center"/>
          </w:tcPr>
          <w:p>
            <w:pPr>
              <w:spacing w:after="60"/>
            </w:pPr>
            <w:r>
              <w:rPr>
                <w:sz w:val="18"/>
              </w:rPr>
            </w:r>
            <w:hyperlink r:id="rId33">
              <w:r>
                <w:rPr>
                  <w:color w:val="245A52"/>
                  <w:u w:val="single"/>
                </w:rPr>
                <w:t>[T06]</w:t>
              </w:r>
            </w:hyperlink>
          </w:p>
        </w:tc>
        <w:tc>
          <w:tcPr>
            <w:tcW w:type="dxa" w:w="1368"/>
            <w:vAlign w:val="center"/>
          </w:tcPr>
          <w:p>
            <w:pPr>
              <w:spacing w:after="60"/>
            </w:pPr>
            <w:r>
              <w:rPr>
                <w:sz w:val="18"/>
              </w:rPr>
              <w:t>Hyalomma</w:t>
            </w:r>
          </w:p>
        </w:tc>
        <w:tc>
          <w:tcPr>
            <w:tcW w:type="dxa" w:w="1584"/>
            <w:vAlign w:val="center"/>
          </w:tcPr>
          <w:p>
            <w:pPr>
              <w:spacing w:after="60"/>
            </w:pPr>
            <w:r>
              <w:rPr>
                <w:sz w:val="18"/>
              </w:rPr>
              <w:t>региональные наблюдения</w:t>
            </w:r>
          </w:p>
        </w:tc>
        <w:tc>
          <w:tcPr>
            <w:tcW w:type="dxa" w:w="1512"/>
            <w:vAlign w:val="center"/>
          </w:tcPr>
          <w:p>
            <w:pPr>
              <w:spacing w:after="60"/>
            </w:pPr>
            <w:r>
              <w:rPr>
                <w:sz w:val="18"/>
              </w:rPr>
              <w:t>дополнительное доказательство</w:t>
            </w:r>
          </w:p>
        </w:tc>
        <w:tc>
          <w:tcPr>
            <w:tcW w:type="dxa" w:w="2808"/>
            <w:vAlign w:val="center"/>
          </w:tcPr>
          <w:p>
            <w:pPr>
              <w:spacing w:after="60"/>
            </w:pPr>
            <w:r>
              <w:rPr>
                <w:sz w:val="18"/>
              </w:rPr>
              <w:t>Awulibieer et al. 2026. Genetic diversity of H. scupense in Kazakhstan</w:t>
            </w:r>
          </w:p>
        </w:tc>
        <w:tc>
          <w:tcPr>
            <w:tcW w:type="dxa" w:w="936"/>
            <w:vAlign w:val="center"/>
          </w:tcPr>
          <w:p>
            <w:pPr>
              <w:spacing w:after="60"/>
            </w:pPr>
            <w:r>
              <w:rPr>
                <w:sz w:val="18"/>
              </w:rPr>
            </w:r>
            <w:hyperlink r:id="rId68">
              <w:r>
                <w:rPr>
                  <w:color w:val="245A52"/>
                  <w:u w:val="single"/>
                </w:rPr>
                <w:t>ССЫЛКА</w:t>
              </w:r>
            </w:hyperlink>
          </w:p>
        </w:tc>
        <w:tc>
          <w:tcPr>
            <w:tcW w:type="dxa" w:w="936"/>
            <w:vAlign w:val="center"/>
          </w:tcPr>
          <w:p>
            <w:pPr>
              <w:spacing w:after="60"/>
            </w:pPr>
            <w:r>
              <w:rPr>
                <w:sz w:val="18"/>
              </w:rPr>
            </w:r>
            <w:hyperlink r:id="rId69">
              <w:r>
                <w:rPr>
                  <w:color w:val="245A52"/>
                  <w:u w:val="single"/>
                </w:rPr>
                <w:t>Читать</w:t>
              </w:r>
            </w:hyperlink>
          </w:p>
        </w:tc>
      </w:tr>
      <w:tr>
        <w:tc>
          <w:tcPr>
            <w:tcW w:type="dxa" w:w="792"/>
            <w:vAlign w:val="center"/>
          </w:tcPr>
          <w:p>
            <w:pPr>
              <w:spacing w:after="60"/>
            </w:pPr>
            <w:r>
              <w:rPr>
                <w:sz w:val="18"/>
              </w:rPr>
            </w:r>
            <w:hyperlink r:id="rId34">
              <w:r>
                <w:rPr>
                  <w:color w:val="245A52"/>
                  <w:u w:val="single"/>
                </w:rPr>
                <w:t>[T07]</w:t>
              </w:r>
            </w:hyperlink>
          </w:p>
        </w:tc>
        <w:tc>
          <w:tcPr>
            <w:tcW w:type="dxa" w:w="1368"/>
            <w:vAlign w:val="center"/>
          </w:tcPr>
          <w:p>
            <w:pPr>
              <w:spacing w:after="60"/>
            </w:pPr>
            <w:r>
              <w:rPr>
                <w:sz w:val="18"/>
              </w:rPr>
              <w:t>Азербайджан/Закавказье</w:t>
            </w:r>
          </w:p>
        </w:tc>
        <w:tc>
          <w:tcPr>
            <w:tcW w:type="dxa" w:w="1584"/>
            <w:vAlign w:val="center"/>
          </w:tcPr>
          <w:p>
            <w:pPr>
              <w:spacing w:after="60"/>
            </w:pPr>
            <w:r>
              <w:rPr>
                <w:sz w:val="18"/>
              </w:rPr>
              <w:t>региональные наблюдения</w:t>
            </w:r>
          </w:p>
        </w:tc>
        <w:tc>
          <w:tcPr>
            <w:tcW w:type="dxa" w:w="1512"/>
            <w:vAlign w:val="center"/>
          </w:tcPr>
          <w:p>
            <w:pPr>
              <w:spacing w:after="60"/>
            </w:pPr>
            <w:r>
              <w:rPr>
                <w:sz w:val="18"/>
              </w:rPr>
              <w:t>основное доказательство</w:t>
            </w:r>
          </w:p>
        </w:tc>
        <w:tc>
          <w:tcPr>
            <w:tcW w:type="dxa" w:w="2808"/>
            <w:vAlign w:val="center"/>
          </w:tcPr>
          <w:p>
            <w:pPr>
              <w:spacing w:after="60"/>
            </w:pPr>
            <w:r>
              <w:rPr>
                <w:sz w:val="18"/>
              </w:rPr>
              <w:t>Seyidov &amp; Seyidli 2026. Age composition of H. detritum in Nakhchivan</w:t>
            </w:r>
          </w:p>
        </w:tc>
        <w:tc>
          <w:tcPr>
            <w:tcW w:type="dxa" w:w="936"/>
            <w:vAlign w:val="center"/>
          </w:tcPr>
          <w:p>
            <w:pPr>
              <w:spacing w:after="60"/>
            </w:pPr>
            <w:r>
              <w:rPr>
                <w:sz w:val="18"/>
              </w:rPr>
            </w:r>
            <w:hyperlink r:id="rId70">
              <w:r>
                <w:rPr>
                  <w:color w:val="245A52"/>
                  <w:u w:val="single"/>
                </w:rPr>
                <w:t>ССЫЛКА</w:t>
              </w:r>
            </w:hyperlink>
          </w:p>
        </w:tc>
        <w:tc>
          <w:tcPr>
            <w:tcW w:type="dxa" w:w="936"/>
            <w:vAlign w:val="center"/>
          </w:tcPr>
          <w:p>
            <w:pPr>
              <w:spacing w:after="60"/>
            </w:pPr>
            <w:r>
              <w:rPr>
                <w:sz w:val="18"/>
              </w:rPr>
            </w:r>
            <w:hyperlink r:id="rId71">
              <w:r>
                <w:rPr>
                  <w:color w:val="245A52"/>
                  <w:u w:val="single"/>
                </w:rPr>
                <w:t>Читать</w:t>
              </w:r>
            </w:hyperlink>
          </w:p>
        </w:tc>
      </w:tr>
    </w:tbl>
    <w:p>
      <w:pPr>
        <w:pStyle w:val="Heading1"/>
      </w:pPr>
      <w:r>
        <w:t>Сравнение источников</w:t>
      </w:r>
    </w:p>
    <w:p>
      <w:pPr>
        <w:pStyle w:val="Heading2"/>
      </w:pPr>
      <w:r>
        <w:t>Nosopsyllus / Ceratophyllidae</w:t>
      </w:r>
    </w:p>
    <w:tbl>
      <w:tblPr>
        <w:tblStyle w:val="TableGrid"/>
        <w:tblW w:type="auto" w:w="0"/>
        <w:jc w:val="center"/>
        <w:tblLayout w:type="fixed"/>
        <w:tblLook w:firstColumn="1" w:firstRow="1" w:lastColumn="0" w:lastRow="0" w:noHBand="0" w:noVBand="1" w:val="04A0"/>
      </w:tblPr>
      <w:tblGrid>
        <w:gridCol w:w="2340"/>
        <w:gridCol w:w="2340"/>
        <w:gridCol w:w="2340"/>
        <w:gridCol w:w="2340"/>
      </w:tblGrid>
      <w:tr>
        <w:tc>
          <w:tcPr>
            <w:tcW w:type="dxa" w:w="2088"/>
            <w:vAlign w:val="center"/>
            <w:shd w:fill="E8EEF5"/>
          </w:tcPr>
          <w:p>
            <w:pPr>
              <w:spacing w:after="60"/>
            </w:pPr>
            <w:r>
              <w:rPr>
                <w:b/>
                <w:color w:val="1F4D78"/>
                <w:sz w:val="18"/>
              </w:rPr>
              <w:t>Тезис</w:t>
            </w:r>
          </w:p>
        </w:tc>
        <w:tc>
          <w:tcPr>
            <w:tcW w:type="dxa" w:w="1440"/>
            <w:vAlign w:val="center"/>
            <w:shd w:fill="E8EEF5"/>
          </w:tcPr>
          <w:p>
            <w:pPr>
              <w:spacing w:after="60"/>
            </w:pPr>
            <w:r>
              <w:rPr>
                <w:b/>
                <w:color w:val="1F4D78"/>
                <w:sz w:val="18"/>
              </w:rPr>
              <w:t>Источники</w:t>
            </w:r>
          </w:p>
        </w:tc>
        <w:tc>
          <w:tcPr>
            <w:tcW w:type="dxa" w:w="2880"/>
            <w:vAlign w:val="center"/>
            <w:shd w:fill="E8EEF5"/>
          </w:tcPr>
          <w:p>
            <w:pPr>
              <w:spacing w:after="60"/>
            </w:pPr>
            <w:r>
              <w:rPr>
                <w:b/>
                <w:color w:val="1F4D78"/>
                <w:sz w:val="18"/>
              </w:rPr>
              <w:t>Ограничения</w:t>
            </w:r>
          </w:p>
        </w:tc>
        <w:tc>
          <w:tcPr>
            <w:tcW w:type="dxa" w:w="2952"/>
            <w:vAlign w:val="center"/>
            <w:shd w:fill="E8EEF5"/>
          </w:tcPr>
          <w:p>
            <w:pPr>
              <w:spacing w:after="60"/>
            </w:pPr>
            <w:r>
              <w:rPr>
                <w:b/>
                <w:color w:val="1F4D78"/>
                <w:sz w:val="18"/>
              </w:rPr>
              <w:t>Итог</w:t>
            </w:r>
          </w:p>
        </w:tc>
      </w:tr>
      <w:tr>
        <w:tc>
          <w:tcPr>
            <w:tcW w:type="dxa" w:w="2088"/>
            <w:vAlign w:val="center"/>
          </w:tcPr>
          <w:p>
            <w:pPr>
              <w:spacing w:after="60"/>
            </w:pPr>
            <w:r>
              <w:rPr>
                <w:sz w:val="18"/>
              </w:rPr>
              <w:t>Семейное положение N. fasciatus</w:t>
            </w:r>
          </w:p>
        </w:tc>
        <w:tc>
          <w:tcPr>
            <w:tcW w:type="dxa" w:w="1440"/>
            <w:vAlign w:val="center"/>
          </w:tcPr>
          <w:p>
            <w:pPr>
              <w:spacing w:after="60"/>
            </w:pPr>
            <w:r>
              <w:rPr>
                <w:sz w:val="18"/>
              </w:rPr>
            </w:r>
            <w:hyperlink r:id="rId27">
              <w:r>
                <w:rPr>
                  <w:color w:val="245A52"/>
                  <w:u w:val="single"/>
                </w:rPr>
                <w:t>[F09]</w:t>
              </w:r>
            </w:hyperlink>
            <w:r>
              <w:rPr>
                <w:sz w:val="18"/>
              </w:rPr>
              <w:t xml:space="preserve">, </w:t>
            </w:r>
            <w:hyperlink r:id="rId22">
              <w:r>
                <w:rPr>
                  <w:color w:val="245A52"/>
                  <w:u w:val="single"/>
                </w:rPr>
                <w:t>[F02]</w:t>
              </w:r>
            </w:hyperlink>
          </w:p>
        </w:tc>
        <w:tc>
          <w:tcPr>
            <w:tcW w:type="dxa" w:w="2880"/>
            <w:vAlign w:val="center"/>
          </w:tcPr>
          <w:p>
            <w:pPr>
              <w:spacing w:after="60"/>
            </w:pPr>
            <w:r>
              <w:rPr>
                <w:sz w:val="18"/>
              </w:rPr>
              <w:t>F09 справочная, F02 не является видовой ревизией.</w:t>
            </w:r>
          </w:p>
        </w:tc>
        <w:tc>
          <w:tcPr>
            <w:tcW w:type="dxa" w:w="2952"/>
            <w:vAlign w:val="center"/>
          </w:tcPr>
          <w:p>
            <w:pPr>
              <w:spacing w:after="60"/>
            </w:pPr>
            <w:r>
              <w:rPr>
                <w:sz w:val="18"/>
              </w:rPr>
              <w:t>Вид удерживается в Ceratophyllidae, но родовая ревизия остается открытой.</w:t>
            </w:r>
          </w:p>
        </w:tc>
      </w:tr>
      <w:tr>
        <w:tc>
          <w:tcPr>
            <w:tcW w:type="dxa" w:w="2088"/>
            <w:vAlign w:val="center"/>
          </w:tcPr>
          <w:p>
            <w:pPr>
              <w:spacing w:after="60"/>
            </w:pPr>
            <w:r>
              <w:rPr>
                <w:sz w:val="18"/>
              </w:rPr>
              <w:t>Пара N. barbarus / N. fasciatus</w:t>
            </w:r>
          </w:p>
        </w:tc>
        <w:tc>
          <w:tcPr>
            <w:tcW w:type="dxa" w:w="1440"/>
            <w:vAlign w:val="center"/>
          </w:tcPr>
          <w:p>
            <w:pPr>
              <w:spacing w:after="60"/>
            </w:pPr>
            <w:r>
              <w:rPr>
                <w:sz w:val="18"/>
              </w:rPr>
            </w:r>
            <w:hyperlink r:id="rId21">
              <w:r>
                <w:rPr>
                  <w:color w:val="245A52"/>
                  <w:u w:val="single"/>
                </w:rPr>
                <w:t>[F01]</w:t>
              </w:r>
            </w:hyperlink>
          </w:p>
        </w:tc>
        <w:tc>
          <w:tcPr>
            <w:tcW w:type="dxa" w:w="2880"/>
            <w:vAlign w:val="center"/>
          </w:tcPr>
          <w:p>
            <w:pPr>
              <w:spacing w:after="60"/>
            </w:pPr>
            <w:r>
              <w:rPr>
                <w:sz w:val="18"/>
              </w:rPr>
              <w:t>Первичная Brill-статья не получена, поэтому вывод не финальный.</w:t>
            </w:r>
          </w:p>
        </w:tc>
        <w:tc>
          <w:tcPr>
            <w:tcW w:type="dxa" w:w="2952"/>
            <w:vAlign w:val="center"/>
          </w:tcPr>
          <w:p>
            <w:pPr>
              <w:spacing w:after="60"/>
            </w:pPr>
            <w:r>
              <w:rPr>
                <w:sz w:val="18"/>
              </w:rPr>
              <w:t>Рабочая гипотеза: вести как синонимическую проблему внутри N. fasciatus s.l..</w:t>
            </w:r>
          </w:p>
        </w:tc>
      </w:tr>
      <w:tr>
        <w:tc>
          <w:tcPr>
            <w:tcW w:type="dxa" w:w="2088"/>
            <w:vAlign w:val="center"/>
          </w:tcPr>
          <w:p>
            <w:pPr>
              <w:spacing w:after="60"/>
            </w:pPr>
            <w:r>
              <w:rPr>
                <w:sz w:val="18"/>
              </w:rPr>
              <w:t>Род Nosopsyllus в молекулярной матрице</w:t>
            </w:r>
          </w:p>
        </w:tc>
        <w:tc>
          <w:tcPr>
            <w:tcW w:type="dxa" w:w="1440"/>
            <w:vAlign w:val="center"/>
          </w:tcPr>
          <w:p>
            <w:pPr>
              <w:spacing w:after="60"/>
            </w:pPr>
            <w:r>
              <w:rPr>
                <w:sz w:val="18"/>
              </w:rPr>
            </w:r>
            <w:hyperlink r:id="rId35">
              <w:r>
                <w:rPr>
                  <w:color w:val="245A52"/>
                  <w:u w:val="single"/>
                </w:rPr>
                <w:t>[F03]</w:t>
              </w:r>
            </w:hyperlink>
            <w:r>
              <w:rPr>
                <w:sz w:val="18"/>
              </w:rPr>
              <w:t xml:space="preserve">, </w:t>
            </w:r>
            <w:hyperlink r:id="rId22">
              <w:r>
                <w:rPr>
                  <w:color w:val="245A52"/>
                  <w:u w:val="single"/>
                </w:rPr>
                <w:t>[F02]</w:t>
              </w:r>
            </w:hyperlink>
          </w:p>
        </w:tc>
        <w:tc>
          <w:tcPr>
            <w:tcW w:type="dxa" w:w="2880"/>
            <w:vAlign w:val="center"/>
          </w:tcPr>
          <w:p>
            <w:pPr>
              <w:spacing w:after="60"/>
            </w:pPr>
            <w:r>
              <w:rPr>
                <w:sz w:val="18"/>
              </w:rPr>
              <w:t>Один митогеном не закрывает род.</w:t>
            </w:r>
          </w:p>
        </w:tc>
        <w:tc>
          <w:tcPr>
            <w:tcW w:type="dxa" w:w="2952"/>
            <w:vAlign w:val="center"/>
          </w:tcPr>
          <w:p>
            <w:pPr>
              <w:spacing w:after="60"/>
            </w:pPr>
            <w:r>
              <w:rPr>
                <w:sz w:val="18"/>
              </w:rPr>
              <w:t>Нужны типовые серии, география, ядерные маркеры и расширенная матрица.</w:t>
            </w:r>
          </w:p>
        </w:tc>
      </w:tr>
    </w:tbl>
    <w:p>
      <w:pPr>
        <w:pStyle w:val="Heading2"/>
      </w:pPr>
      <w:r>
        <w:t>Hystrichopsyllidae</w:t>
      </w:r>
    </w:p>
    <w:tbl>
      <w:tblPr>
        <w:tblStyle w:val="TableGrid"/>
        <w:tblW w:type="auto" w:w="0"/>
        <w:jc w:val="center"/>
        <w:tblLayout w:type="fixed"/>
        <w:tblLook w:firstColumn="1" w:firstRow="1" w:lastColumn="0" w:lastRow="0" w:noHBand="0" w:noVBand="1" w:val="04A0"/>
      </w:tblPr>
      <w:tblGrid>
        <w:gridCol w:w="2340"/>
        <w:gridCol w:w="2340"/>
        <w:gridCol w:w="2340"/>
        <w:gridCol w:w="2340"/>
      </w:tblGrid>
      <w:tr>
        <w:tc>
          <w:tcPr>
            <w:tcW w:type="dxa" w:w="2088"/>
            <w:vAlign w:val="center"/>
            <w:shd w:fill="E8EEF5"/>
          </w:tcPr>
          <w:p>
            <w:pPr>
              <w:spacing w:after="60"/>
            </w:pPr>
            <w:r>
              <w:rPr>
                <w:b/>
                <w:color w:val="1F4D78"/>
                <w:sz w:val="18"/>
              </w:rPr>
              <w:t>Тезис</w:t>
            </w:r>
          </w:p>
        </w:tc>
        <w:tc>
          <w:tcPr>
            <w:tcW w:type="dxa" w:w="1440"/>
            <w:vAlign w:val="center"/>
            <w:shd w:fill="E8EEF5"/>
          </w:tcPr>
          <w:p>
            <w:pPr>
              <w:spacing w:after="60"/>
            </w:pPr>
            <w:r>
              <w:rPr>
                <w:b/>
                <w:color w:val="1F4D78"/>
                <w:sz w:val="18"/>
              </w:rPr>
              <w:t>Источники</w:t>
            </w:r>
          </w:p>
        </w:tc>
        <w:tc>
          <w:tcPr>
            <w:tcW w:type="dxa" w:w="2880"/>
            <w:vAlign w:val="center"/>
            <w:shd w:fill="E8EEF5"/>
          </w:tcPr>
          <w:p>
            <w:pPr>
              <w:spacing w:after="60"/>
            </w:pPr>
            <w:r>
              <w:rPr>
                <w:b/>
                <w:color w:val="1F4D78"/>
                <w:sz w:val="18"/>
              </w:rPr>
              <w:t>Ограничения</w:t>
            </w:r>
          </w:p>
        </w:tc>
        <w:tc>
          <w:tcPr>
            <w:tcW w:type="dxa" w:w="2952"/>
            <w:vAlign w:val="center"/>
            <w:shd w:fill="E8EEF5"/>
          </w:tcPr>
          <w:p>
            <w:pPr>
              <w:spacing w:after="60"/>
            </w:pPr>
            <w:r>
              <w:rPr>
                <w:b/>
                <w:color w:val="1F4D78"/>
                <w:sz w:val="18"/>
              </w:rPr>
              <w:t>Итог</w:t>
            </w:r>
          </w:p>
        </w:tc>
      </w:tr>
      <w:tr>
        <w:tc>
          <w:tcPr>
            <w:tcW w:type="dxa" w:w="2088"/>
            <w:vAlign w:val="center"/>
          </w:tcPr>
          <w:p>
            <w:pPr>
              <w:spacing w:after="60"/>
            </w:pPr>
            <w:r>
              <w:rPr>
                <w:sz w:val="18"/>
              </w:rPr>
              <w:t>Широкое семейство проблемно</w:t>
            </w:r>
          </w:p>
        </w:tc>
        <w:tc>
          <w:tcPr>
            <w:tcW w:type="dxa" w:w="1440"/>
            <w:vAlign w:val="center"/>
          </w:tcPr>
          <w:p>
            <w:pPr>
              <w:spacing w:after="60"/>
            </w:pPr>
            <w:r>
              <w:rPr>
                <w:sz w:val="18"/>
              </w:rPr>
            </w:r>
            <w:hyperlink r:id="rId21">
              <w:r>
                <w:rPr>
                  <w:color w:val="245A52"/>
                  <w:u w:val="single"/>
                </w:rPr>
                <w:t>[F01]</w:t>
              </w:r>
            </w:hyperlink>
            <w:r>
              <w:rPr>
                <w:sz w:val="18"/>
              </w:rPr>
              <w:t xml:space="preserve">, </w:t>
            </w:r>
            <w:hyperlink r:id="rId23">
              <w:r>
                <w:rPr>
                  <w:color w:val="245A52"/>
                  <w:u w:val="single"/>
                </w:rPr>
                <w:t>[F05]</w:t>
              </w:r>
            </w:hyperlink>
          </w:p>
        </w:tc>
        <w:tc>
          <w:tcPr>
            <w:tcW w:type="dxa" w:w="2880"/>
            <w:vAlign w:val="center"/>
          </w:tcPr>
          <w:p>
            <w:pPr>
              <w:spacing w:after="60"/>
            </w:pPr>
            <w:r>
              <w:rPr>
                <w:sz w:val="18"/>
              </w:rPr>
              <w:t>Сигнал зависит от матрицы и таксонного покрытия.</w:t>
            </w:r>
          </w:p>
        </w:tc>
        <w:tc>
          <w:tcPr>
            <w:tcW w:type="dxa" w:w="2952"/>
            <w:vAlign w:val="center"/>
          </w:tcPr>
          <w:p>
            <w:pPr>
              <w:spacing w:after="60"/>
            </w:pPr>
            <w:r>
              <w:rPr>
                <w:sz w:val="18"/>
              </w:rPr>
              <w:t>Ревизия должна идти род за родом, а не одним переименованием.</w:t>
            </w:r>
          </w:p>
        </w:tc>
      </w:tr>
      <w:tr>
        <w:tc>
          <w:tcPr>
            <w:tcW w:type="dxa" w:w="2088"/>
            <w:vAlign w:val="center"/>
          </w:tcPr>
          <w:p>
            <w:pPr>
              <w:spacing w:after="60"/>
            </w:pPr>
            <w:r>
              <w:rPr>
                <w:sz w:val="18"/>
              </w:rPr>
              <w:t>Роды в зоне Hystrichopsylla</w:t>
            </w:r>
          </w:p>
        </w:tc>
        <w:tc>
          <w:tcPr>
            <w:tcW w:type="dxa" w:w="1440"/>
            <w:vAlign w:val="center"/>
          </w:tcPr>
          <w:p>
            <w:pPr>
              <w:spacing w:after="60"/>
            </w:pPr>
            <w:r>
              <w:rPr>
                <w:sz w:val="18"/>
              </w:rPr>
            </w:r>
            <w:hyperlink r:id="rId23">
              <w:r>
                <w:rPr>
                  <w:color w:val="245A52"/>
                  <w:u w:val="single"/>
                </w:rPr>
                <w:t>[F05]</w:t>
              </w:r>
            </w:hyperlink>
            <w:r>
              <w:rPr>
                <w:sz w:val="18"/>
              </w:rPr>
              <w:t xml:space="preserve">, </w:t>
            </w:r>
            <w:hyperlink r:id="rId24">
              <w:r>
                <w:rPr>
                  <w:color w:val="245A52"/>
                  <w:u w:val="single"/>
                </w:rPr>
                <w:t>[F06]</w:t>
              </w:r>
            </w:hyperlink>
            <w:r>
              <w:rPr>
                <w:sz w:val="18"/>
              </w:rPr>
              <w:t xml:space="preserve">, </w:t>
            </w:r>
            <w:hyperlink r:id="rId25">
              <w:r>
                <w:rPr>
                  <w:color w:val="245A52"/>
                  <w:u w:val="single"/>
                </w:rPr>
                <w:t>[F07]</w:t>
              </w:r>
            </w:hyperlink>
          </w:p>
        </w:tc>
        <w:tc>
          <w:tcPr>
            <w:tcW w:type="dxa" w:w="2880"/>
            <w:vAlign w:val="center"/>
          </w:tcPr>
          <w:p>
            <w:pPr>
              <w:spacing w:after="60"/>
            </w:pPr>
            <w:r>
              <w:rPr>
                <w:sz w:val="18"/>
              </w:rPr>
              <w:t>Митогеномы полезны, но требуют проверки ядерными маркерами.</w:t>
            </w:r>
          </w:p>
        </w:tc>
        <w:tc>
          <w:tcPr>
            <w:tcW w:type="dxa" w:w="2952"/>
            <w:vAlign w:val="center"/>
          </w:tcPr>
          <w:p>
            <w:pPr>
              <w:spacing w:after="60"/>
            </w:pPr>
            <w:r>
              <w:rPr>
                <w:sz w:val="18"/>
              </w:rPr>
              <w:t>Hystrichopsylla, Ctenophthalmus, Stenischia, Paradoxopsyllus — приоритетные узлы.</w:t>
            </w:r>
          </w:p>
        </w:tc>
      </w:tr>
      <w:tr>
        <w:tc>
          <w:tcPr>
            <w:tcW w:type="dxa" w:w="2088"/>
            <w:vAlign w:val="center"/>
          </w:tcPr>
          <w:p>
            <w:pPr>
              <w:spacing w:after="60"/>
            </w:pPr>
            <w:r>
              <w:rPr>
                <w:sz w:val="18"/>
              </w:rPr>
              <w:t>Интегративный стандарт ревизии</w:t>
            </w:r>
          </w:p>
        </w:tc>
        <w:tc>
          <w:tcPr>
            <w:tcW w:type="dxa" w:w="1440"/>
            <w:vAlign w:val="center"/>
          </w:tcPr>
          <w:p>
            <w:pPr>
              <w:spacing w:after="60"/>
            </w:pPr>
            <w:r>
              <w:rPr>
                <w:sz w:val="18"/>
              </w:rPr>
            </w:r>
            <w:hyperlink r:id="rId36">
              <w:r>
                <w:rPr>
                  <w:color w:val="245A52"/>
                  <w:u w:val="single"/>
                </w:rPr>
                <w:t>[F04]</w:t>
              </w:r>
            </w:hyperlink>
            <w:r>
              <w:rPr>
                <w:sz w:val="18"/>
              </w:rPr>
              <w:t xml:space="preserve">, </w:t>
            </w:r>
            <w:hyperlink r:id="rId26">
              <w:r>
                <w:rPr>
                  <w:color w:val="245A52"/>
                  <w:u w:val="single"/>
                </w:rPr>
                <w:t>[F08]</w:t>
              </w:r>
            </w:hyperlink>
          </w:p>
        </w:tc>
        <w:tc>
          <w:tcPr>
            <w:tcW w:type="dxa" w:w="2880"/>
            <w:vAlign w:val="center"/>
          </w:tcPr>
          <w:p>
            <w:pPr>
              <w:spacing w:after="60"/>
            </w:pPr>
            <w:r>
              <w:rPr>
                <w:sz w:val="18"/>
              </w:rPr>
              <w:t>Китайская выборка не переносится автоматически на все регионы.</w:t>
            </w:r>
          </w:p>
        </w:tc>
        <w:tc>
          <w:tcPr>
            <w:tcW w:type="dxa" w:w="2952"/>
            <w:vAlign w:val="center"/>
          </w:tcPr>
          <w:p>
            <w:pPr>
              <w:spacing w:after="60"/>
            </w:pPr>
            <w:r>
              <w:rPr>
                <w:sz w:val="18"/>
              </w:rPr>
              <w:t>Нужны морфология, несколько маркеров, хозяева и география.</w:t>
            </w:r>
          </w:p>
        </w:tc>
      </w:tr>
    </w:tbl>
    <w:p>
      <w:pPr>
        <w:pStyle w:val="Heading2"/>
      </w:pPr>
      <w:r>
        <w:t>Hyalomma</w:t>
      </w:r>
    </w:p>
    <w:tbl>
      <w:tblPr>
        <w:tblStyle w:val="TableGrid"/>
        <w:tblW w:type="auto" w:w="0"/>
        <w:jc w:val="center"/>
        <w:tblLayout w:type="fixed"/>
        <w:tblLook w:firstColumn="1" w:firstRow="1" w:lastColumn="0" w:lastRow="0" w:noHBand="0" w:noVBand="1" w:val="04A0"/>
      </w:tblPr>
      <w:tblGrid>
        <w:gridCol w:w="2340"/>
        <w:gridCol w:w="2340"/>
        <w:gridCol w:w="2340"/>
        <w:gridCol w:w="2340"/>
      </w:tblGrid>
      <w:tr>
        <w:tc>
          <w:tcPr>
            <w:tcW w:type="dxa" w:w="2088"/>
            <w:vAlign w:val="center"/>
            <w:shd w:fill="E8EEF5"/>
          </w:tcPr>
          <w:p>
            <w:pPr>
              <w:spacing w:after="60"/>
            </w:pPr>
            <w:r>
              <w:rPr>
                <w:b/>
                <w:color w:val="1F4D78"/>
                <w:sz w:val="18"/>
              </w:rPr>
              <w:t>Тезис</w:t>
            </w:r>
          </w:p>
        </w:tc>
        <w:tc>
          <w:tcPr>
            <w:tcW w:type="dxa" w:w="1440"/>
            <w:vAlign w:val="center"/>
            <w:shd w:fill="E8EEF5"/>
          </w:tcPr>
          <w:p>
            <w:pPr>
              <w:spacing w:after="60"/>
            </w:pPr>
            <w:r>
              <w:rPr>
                <w:b/>
                <w:color w:val="1F4D78"/>
                <w:sz w:val="18"/>
              </w:rPr>
              <w:t>Источники</w:t>
            </w:r>
          </w:p>
        </w:tc>
        <w:tc>
          <w:tcPr>
            <w:tcW w:type="dxa" w:w="2880"/>
            <w:vAlign w:val="center"/>
            <w:shd w:fill="E8EEF5"/>
          </w:tcPr>
          <w:p>
            <w:pPr>
              <w:spacing w:after="60"/>
            </w:pPr>
            <w:r>
              <w:rPr>
                <w:b/>
                <w:color w:val="1F4D78"/>
                <w:sz w:val="18"/>
              </w:rPr>
              <w:t>Ограничения</w:t>
            </w:r>
          </w:p>
        </w:tc>
        <w:tc>
          <w:tcPr>
            <w:tcW w:type="dxa" w:w="2952"/>
            <w:vAlign w:val="center"/>
            <w:shd w:fill="E8EEF5"/>
          </w:tcPr>
          <w:p>
            <w:pPr>
              <w:spacing w:after="60"/>
            </w:pPr>
            <w:r>
              <w:rPr>
                <w:b/>
                <w:color w:val="1F4D78"/>
                <w:sz w:val="18"/>
              </w:rPr>
              <w:t>Итог</w:t>
            </w:r>
          </w:p>
        </w:tc>
      </w:tr>
      <w:tr>
        <w:tc>
          <w:tcPr>
            <w:tcW w:type="dxa" w:w="2088"/>
            <w:vAlign w:val="center"/>
          </w:tcPr>
          <w:p>
            <w:pPr>
              <w:spacing w:after="60"/>
            </w:pPr>
            <w:r>
              <w:rPr>
                <w:sz w:val="18"/>
              </w:rPr>
              <w:t>H. detritum как синоним</w:t>
            </w:r>
          </w:p>
        </w:tc>
        <w:tc>
          <w:tcPr>
            <w:tcW w:type="dxa" w:w="1440"/>
            <w:vAlign w:val="center"/>
          </w:tcPr>
          <w:p>
            <w:pPr>
              <w:spacing w:after="60"/>
            </w:pPr>
            <w:r>
              <w:rPr>
                <w:sz w:val="18"/>
              </w:rPr>
            </w:r>
            <w:hyperlink r:id="rId28">
              <w:r>
                <w:rPr>
                  <w:color w:val="245A52"/>
                  <w:u w:val="single"/>
                </w:rPr>
                <w:t>[T01]</w:t>
              </w:r>
            </w:hyperlink>
            <w:r>
              <w:rPr>
                <w:sz w:val="18"/>
              </w:rPr>
              <w:t xml:space="preserve">, </w:t>
            </w:r>
            <w:hyperlink r:id="rId29">
              <w:r>
                <w:rPr>
                  <w:color w:val="245A52"/>
                  <w:u w:val="single"/>
                </w:rPr>
                <w:t>[T02]</w:t>
              </w:r>
            </w:hyperlink>
            <w:r>
              <w:rPr>
                <w:sz w:val="18"/>
              </w:rPr>
              <w:t xml:space="preserve">, </w:t>
            </w:r>
            <w:hyperlink r:id="rId32">
              <w:r>
                <w:rPr>
                  <w:color w:val="245A52"/>
                  <w:u w:val="single"/>
                </w:rPr>
                <w:t>[T05]</w:t>
              </w:r>
            </w:hyperlink>
          </w:p>
        </w:tc>
        <w:tc>
          <w:tcPr>
            <w:tcW w:type="dxa" w:w="2880"/>
            <w:vAlign w:val="center"/>
          </w:tcPr>
          <w:p>
            <w:pPr>
              <w:spacing w:after="60"/>
            </w:pPr>
            <w:r>
              <w:rPr>
                <w:sz w:val="18"/>
              </w:rPr>
              <w:t>Синонимия не доказывает локальные формы.</w:t>
            </w:r>
          </w:p>
        </w:tc>
        <w:tc>
          <w:tcPr>
            <w:tcW w:type="dxa" w:w="2952"/>
            <w:vAlign w:val="center"/>
          </w:tcPr>
          <w:p>
            <w:pPr>
              <w:spacing w:after="60"/>
            </w:pPr>
            <w:r>
              <w:rPr>
                <w:sz w:val="18"/>
              </w:rPr>
              <w:t>Рабочая запись отчета: Hyalomma scupense s.l..</w:t>
            </w:r>
          </w:p>
        </w:tc>
      </w:tr>
      <w:tr>
        <w:tc>
          <w:tcPr>
            <w:tcW w:type="dxa" w:w="2088"/>
            <w:vAlign w:val="center"/>
          </w:tcPr>
          <w:p>
            <w:pPr>
              <w:spacing w:after="60"/>
            </w:pPr>
            <w:r>
              <w:rPr>
                <w:sz w:val="18"/>
              </w:rPr>
              <w:t>Пластичность жизненного цикла</w:t>
            </w:r>
          </w:p>
        </w:tc>
        <w:tc>
          <w:tcPr>
            <w:tcW w:type="dxa" w:w="1440"/>
            <w:vAlign w:val="center"/>
          </w:tcPr>
          <w:p>
            <w:pPr>
              <w:spacing w:after="60"/>
            </w:pPr>
            <w:r>
              <w:rPr>
                <w:sz w:val="18"/>
              </w:rPr>
            </w:r>
            <w:hyperlink r:id="rId30">
              <w:r>
                <w:rPr>
                  <w:color w:val="245A52"/>
                  <w:u w:val="single"/>
                </w:rPr>
                <w:t>[T03]</w:t>
              </w:r>
            </w:hyperlink>
            <w:r>
              <w:rPr>
                <w:sz w:val="18"/>
              </w:rPr>
              <w:t xml:space="preserve">, </w:t>
            </w:r>
            <w:hyperlink r:id="rId31">
              <w:r>
                <w:rPr>
                  <w:color w:val="245A52"/>
                  <w:u w:val="single"/>
                </w:rPr>
                <w:t>[T04]</w:t>
              </w:r>
            </w:hyperlink>
          </w:p>
        </w:tc>
        <w:tc>
          <w:tcPr>
            <w:tcW w:type="dxa" w:w="2880"/>
            <w:vAlign w:val="center"/>
          </w:tcPr>
          <w:p>
            <w:pPr>
              <w:spacing w:after="60"/>
            </w:pPr>
            <w:r>
              <w:rPr>
                <w:sz w:val="18"/>
              </w:rPr>
              <w:t>Магриб и Тунис — сравнительная рамка, не Закавказье.</w:t>
            </w:r>
          </w:p>
        </w:tc>
        <w:tc>
          <w:tcPr>
            <w:tcW w:type="dxa" w:w="2952"/>
            <w:vAlign w:val="center"/>
          </w:tcPr>
          <w:p>
            <w:pPr>
              <w:spacing w:after="60"/>
            </w:pPr>
            <w:r>
              <w:rPr>
                <w:sz w:val="18"/>
              </w:rPr>
              <w:t>Цикл важен экологически, но не является одиночным видовым диагнозом.</w:t>
            </w:r>
          </w:p>
        </w:tc>
      </w:tr>
      <w:tr>
        <w:tc>
          <w:tcPr>
            <w:tcW w:type="dxa" w:w="2088"/>
            <w:vAlign w:val="center"/>
          </w:tcPr>
          <w:p>
            <w:pPr>
              <w:spacing w:after="60"/>
            </w:pPr>
            <w:r>
              <w:rPr>
                <w:sz w:val="18"/>
              </w:rPr>
              <w:t>Восточный контекст и разнообразие</w:t>
            </w:r>
          </w:p>
        </w:tc>
        <w:tc>
          <w:tcPr>
            <w:tcW w:type="dxa" w:w="1440"/>
            <w:vAlign w:val="center"/>
          </w:tcPr>
          <w:p>
            <w:pPr>
              <w:spacing w:after="60"/>
            </w:pPr>
            <w:r>
              <w:rPr>
                <w:sz w:val="18"/>
              </w:rPr>
            </w:r>
            <w:hyperlink r:id="rId33">
              <w:r>
                <w:rPr>
                  <w:color w:val="245A52"/>
                  <w:u w:val="single"/>
                </w:rPr>
                <w:t>[T06]</w:t>
              </w:r>
            </w:hyperlink>
          </w:p>
        </w:tc>
        <w:tc>
          <w:tcPr>
            <w:tcW w:type="dxa" w:w="2880"/>
            <w:vAlign w:val="center"/>
          </w:tcPr>
          <w:p>
            <w:pPr>
              <w:spacing w:after="60"/>
            </w:pPr>
            <w:r>
              <w:rPr>
                <w:sz w:val="18"/>
              </w:rPr>
              <w:t>Казахстан не заменяет локальные данные Азербайджана.</w:t>
            </w:r>
          </w:p>
        </w:tc>
        <w:tc>
          <w:tcPr>
            <w:tcW w:type="dxa" w:w="2952"/>
            <w:vAlign w:val="center"/>
          </w:tcPr>
          <w:p>
            <w:pPr>
              <w:spacing w:after="60"/>
            </w:pPr>
            <w:r>
              <w:rPr>
                <w:sz w:val="18"/>
              </w:rPr>
              <w:t>Вид широк и неоднороден; локальные формы надо доказывать отдельно.</w:t>
            </w:r>
          </w:p>
        </w:tc>
      </w:tr>
    </w:tbl>
    <w:p>
      <w:pPr>
        <w:pStyle w:val="Heading2"/>
      </w:pPr>
      <w:r>
        <w:t>Азербайджан / Закавказье</w:t>
      </w:r>
    </w:p>
    <w:tbl>
      <w:tblPr>
        <w:tblStyle w:val="TableGrid"/>
        <w:tblW w:type="auto" w:w="0"/>
        <w:jc w:val="center"/>
        <w:tblLayout w:type="fixed"/>
        <w:tblLook w:firstColumn="1" w:firstRow="1" w:lastColumn="0" w:lastRow="0" w:noHBand="0" w:noVBand="1" w:val="04A0"/>
      </w:tblPr>
      <w:tblGrid>
        <w:gridCol w:w="2340"/>
        <w:gridCol w:w="2340"/>
        <w:gridCol w:w="2340"/>
        <w:gridCol w:w="2340"/>
      </w:tblGrid>
      <w:tr>
        <w:tc>
          <w:tcPr>
            <w:tcW w:type="dxa" w:w="2088"/>
            <w:vAlign w:val="center"/>
            <w:shd w:fill="E8EEF5"/>
          </w:tcPr>
          <w:p>
            <w:pPr>
              <w:spacing w:after="60"/>
            </w:pPr>
            <w:r>
              <w:rPr>
                <w:b/>
                <w:color w:val="1F4D78"/>
                <w:sz w:val="18"/>
              </w:rPr>
              <w:t>Тезис</w:t>
            </w:r>
          </w:p>
        </w:tc>
        <w:tc>
          <w:tcPr>
            <w:tcW w:type="dxa" w:w="1440"/>
            <w:vAlign w:val="center"/>
            <w:shd w:fill="E8EEF5"/>
          </w:tcPr>
          <w:p>
            <w:pPr>
              <w:spacing w:after="60"/>
            </w:pPr>
            <w:r>
              <w:rPr>
                <w:b/>
                <w:color w:val="1F4D78"/>
                <w:sz w:val="18"/>
              </w:rPr>
              <w:t>Источники</w:t>
            </w:r>
          </w:p>
        </w:tc>
        <w:tc>
          <w:tcPr>
            <w:tcW w:type="dxa" w:w="2880"/>
            <w:vAlign w:val="center"/>
            <w:shd w:fill="E8EEF5"/>
          </w:tcPr>
          <w:p>
            <w:pPr>
              <w:spacing w:after="60"/>
            </w:pPr>
            <w:r>
              <w:rPr>
                <w:b/>
                <w:color w:val="1F4D78"/>
                <w:sz w:val="18"/>
              </w:rPr>
              <w:t>Ограничения</w:t>
            </w:r>
          </w:p>
        </w:tc>
        <w:tc>
          <w:tcPr>
            <w:tcW w:type="dxa" w:w="2952"/>
            <w:vAlign w:val="center"/>
            <w:shd w:fill="E8EEF5"/>
          </w:tcPr>
          <w:p>
            <w:pPr>
              <w:spacing w:after="60"/>
            </w:pPr>
            <w:r>
              <w:rPr>
                <w:b/>
                <w:color w:val="1F4D78"/>
                <w:sz w:val="18"/>
              </w:rPr>
              <w:t>Итог</w:t>
            </w:r>
          </w:p>
        </w:tc>
      </w:tr>
      <w:tr>
        <w:tc>
          <w:tcPr>
            <w:tcW w:type="dxa" w:w="2088"/>
            <w:vAlign w:val="center"/>
          </w:tcPr>
          <w:p>
            <w:pPr>
              <w:spacing w:after="60"/>
            </w:pPr>
            <w:r>
              <w:rPr>
                <w:sz w:val="18"/>
              </w:rPr>
              <w:t>Локально доказанный минимум</w:t>
            </w:r>
          </w:p>
        </w:tc>
        <w:tc>
          <w:tcPr>
            <w:tcW w:type="dxa" w:w="1440"/>
            <w:vAlign w:val="center"/>
          </w:tcPr>
          <w:p>
            <w:pPr>
              <w:spacing w:after="60"/>
            </w:pPr>
            <w:r>
              <w:rPr>
                <w:sz w:val="18"/>
              </w:rPr>
            </w:r>
            <w:hyperlink r:id="rId34">
              <w:r>
                <w:rPr>
                  <w:color w:val="245A52"/>
                  <w:u w:val="single"/>
                </w:rPr>
                <w:t>[T07]</w:t>
              </w:r>
            </w:hyperlink>
            <w:r>
              <w:rPr>
                <w:sz w:val="18"/>
              </w:rPr>
              <w:t xml:space="preserve">, </w:t>
            </w:r>
            <w:hyperlink r:id="rId28">
              <w:r>
                <w:rPr>
                  <w:color w:val="245A52"/>
                  <w:u w:val="single"/>
                </w:rPr>
                <w:t>[T01]</w:t>
              </w:r>
            </w:hyperlink>
            <w:r>
              <w:rPr>
                <w:sz w:val="18"/>
              </w:rPr>
              <w:t xml:space="preserve">, </w:t>
            </w:r>
            <w:hyperlink r:id="rId29">
              <w:r>
                <w:rPr>
                  <w:color w:val="245A52"/>
                  <w:u w:val="single"/>
                </w:rPr>
                <w:t>[T02]</w:t>
              </w:r>
            </w:hyperlink>
          </w:p>
        </w:tc>
        <w:tc>
          <w:tcPr>
            <w:tcW w:type="dxa" w:w="2880"/>
            <w:vAlign w:val="center"/>
          </w:tcPr>
          <w:p>
            <w:pPr>
              <w:spacing w:after="60"/>
            </w:pPr>
            <w:r>
              <w:rPr>
                <w:sz w:val="18"/>
              </w:rPr>
              <w:t>T07 использует старое имя H. detritum и не проверяет число хозяев.</w:t>
            </w:r>
          </w:p>
        </w:tc>
        <w:tc>
          <w:tcPr>
            <w:tcW w:type="dxa" w:w="2952"/>
            <w:vAlign w:val="center"/>
          </w:tcPr>
          <w:p>
            <w:pPr>
              <w:spacing w:after="60"/>
            </w:pPr>
            <w:r>
              <w:rPr>
                <w:sz w:val="18"/>
              </w:rPr>
              <w:t>Для Нахчывана доказана минимум одна сезонно-пастбищная форма H. scupense s.l..</w:t>
            </w:r>
          </w:p>
        </w:tc>
      </w:tr>
      <w:tr>
        <w:tc>
          <w:tcPr>
            <w:tcW w:type="dxa" w:w="2088"/>
            <w:vAlign w:val="center"/>
          </w:tcPr>
          <w:p>
            <w:pPr>
              <w:spacing w:after="60"/>
            </w:pPr>
            <w:r>
              <w:rPr>
                <w:sz w:val="18"/>
              </w:rPr>
              <w:t>Гипотеза о двух формах</w:t>
            </w:r>
          </w:p>
        </w:tc>
        <w:tc>
          <w:tcPr>
            <w:tcW w:type="dxa" w:w="1440"/>
            <w:vAlign w:val="center"/>
          </w:tcPr>
          <w:p>
            <w:pPr>
              <w:spacing w:after="60"/>
            </w:pPr>
            <w:r>
              <w:rPr>
                <w:sz w:val="18"/>
              </w:rPr>
            </w:r>
            <w:hyperlink r:id="rId30">
              <w:r>
                <w:rPr>
                  <w:color w:val="245A52"/>
                  <w:u w:val="single"/>
                </w:rPr>
                <w:t>[T03]</w:t>
              </w:r>
            </w:hyperlink>
            <w:r>
              <w:rPr>
                <w:sz w:val="18"/>
              </w:rPr>
              <w:t xml:space="preserve">, </w:t>
            </w:r>
            <w:hyperlink r:id="rId31">
              <w:r>
                <w:rPr>
                  <w:color w:val="245A52"/>
                  <w:u w:val="single"/>
                </w:rPr>
                <w:t>[T04]</w:t>
              </w:r>
            </w:hyperlink>
            <w:r>
              <w:rPr>
                <w:sz w:val="18"/>
              </w:rPr>
              <w:t xml:space="preserve">, </w:t>
            </w:r>
            <w:hyperlink r:id="rId33">
              <w:r>
                <w:rPr>
                  <w:color w:val="245A52"/>
                  <w:u w:val="single"/>
                </w:rPr>
                <w:t>[T06]</w:t>
              </w:r>
            </w:hyperlink>
          </w:p>
        </w:tc>
        <w:tc>
          <w:tcPr>
            <w:tcW w:type="dxa" w:w="2880"/>
            <w:vAlign w:val="center"/>
          </w:tcPr>
          <w:p>
            <w:pPr>
              <w:spacing w:after="60"/>
            </w:pPr>
            <w:r>
              <w:rPr>
                <w:sz w:val="18"/>
              </w:rPr>
              <w:t>Нет прямой локальной проверки по высотам, сезонам и маркерам.</w:t>
            </w:r>
          </w:p>
        </w:tc>
        <w:tc>
          <w:tcPr>
            <w:tcW w:type="dxa" w:w="2952"/>
            <w:vAlign w:val="center"/>
          </w:tcPr>
          <w:p>
            <w:pPr>
              <w:spacing w:after="60"/>
            </w:pPr>
            <w:r>
              <w:rPr>
                <w:sz w:val="18"/>
              </w:rPr>
              <w:t>Для Закавказья две формы — рабочая гипотеза, а не закрытый факт.</w:t>
            </w:r>
          </w:p>
        </w:tc>
      </w:tr>
      <w:tr>
        <w:tc>
          <w:tcPr>
            <w:tcW w:type="dxa" w:w="2088"/>
            <w:vAlign w:val="center"/>
          </w:tcPr>
          <w:p>
            <w:pPr>
              <w:spacing w:after="60"/>
            </w:pPr>
            <w:r>
              <w:rPr>
                <w:sz w:val="18"/>
              </w:rPr>
              <w:t>Что не хватает</w:t>
            </w:r>
          </w:p>
        </w:tc>
        <w:tc>
          <w:tcPr>
            <w:tcW w:type="dxa" w:w="1440"/>
            <w:vAlign w:val="center"/>
          </w:tcPr>
          <w:p>
            <w:pPr>
              <w:spacing w:after="60"/>
            </w:pPr>
            <w:r>
              <w:rPr>
                <w:sz w:val="18"/>
              </w:rPr>
            </w:r>
            <w:hyperlink r:id="rId34">
              <w:r>
                <w:rPr>
                  <w:color w:val="245A52"/>
                  <w:u w:val="single"/>
                </w:rPr>
                <w:t>[T07]</w:t>
              </w:r>
            </w:hyperlink>
          </w:p>
        </w:tc>
        <w:tc>
          <w:tcPr>
            <w:tcW w:type="dxa" w:w="2880"/>
            <w:vAlign w:val="center"/>
          </w:tcPr>
          <w:p>
            <w:pPr>
              <w:spacing w:after="60"/>
            </w:pPr>
            <w:r>
              <w:rPr>
                <w:sz w:val="18"/>
              </w:rPr>
              <w:t>Один локальный источник не покрывает весь регион.</w:t>
            </w:r>
          </w:p>
        </w:tc>
        <w:tc>
          <w:tcPr>
            <w:tcW w:type="dxa" w:w="2952"/>
            <w:vAlign w:val="center"/>
          </w:tcPr>
          <w:p>
            <w:pPr>
              <w:spacing w:after="60"/>
            </w:pPr>
            <w:r>
              <w:rPr>
                <w:sz w:val="18"/>
              </w:rPr>
              <w:t>Нужны сборы по высотным поясам, хозяевам, сезонам и COI/16S/12S плюс ядерные маркеры.</w:t>
            </w:r>
          </w:p>
        </w:tc>
      </w:tr>
    </w:tbl>
    <w:p>
      <w:r>
        <w:br w:type="page"/>
      </w:r>
    </w:p>
    <w:p>
      <w:pPr>
        <w:pStyle w:val="Heading1"/>
      </w:pPr>
      <w:r>
        <w:t>Приложение: карточки источников</w:t>
      </w:r>
    </w:p>
    <w:p>
      <w:pPr>
        <w:pStyle w:val="Heading2"/>
      </w:pPr>
      <w:r>
        <w:t>F01. Bossard et al. 2023. Flea family diversity</w:t>
      </w:r>
    </w:p>
    <w:p>
      <w:r>
        <w:rPr>
          <w:b/>
        </w:rPr>
        <w:t>Nosopsyllus · полный PDF · основное доказательство</w:t>
      </w:r>
    </w:p>
    <w:p>
      <w:hyperlink r:id="rId40">
        <w:r>
          <w:rPr>
            <w:color w:val="245A52"/>
            <w:u w:val="single"/>
          </w:rPr>
          <w:t>ССЫЛКА</w:t>
        </w:r>
      </w:hyperlink>
      <w:r>
        <w:t xml:space="preserve"> · </w:t>
      </w:r>
      <w:hyperlink r:id="rId41">
        <w:r>
          <w:rPr>
            <w:color w:val="245A52"/>
            <w:u w:val="single"/>
          </w:rPr>
          <w:t>Читать сохраненный документ</w:t>
        </w:r>
      </w:hyperlink>
    </w:p>
    <w:p>
      <w:pPr>
        <w:pStyle w:val="Heading3"/>
      </w:pPr>
      <w:r>
        <w:t>Реферат</w:t>
      </w:r>
    </w:p>
    <w:p>
      <w:r>
        <w:t>Bossard et al. 2023 используется как входная карта по современной систематике блох. В текущей доказательной базе это не источник, который закрывает один узкий вопрос, а документ, который объясняет масштаб и уровень неопределенности всей классификации Siphonaptera. В нем перечислены 19 современных семейств, около 249 родов, 2215 видов и 714 подвидов; на этом фоне видно, что работа с Nosopsyllus не может сводиться к одной справочной карточке или одному старому названию. Для Ceratophyllidae источник важен тем, что семейство описано как крупнейшее монофилетическое, тогда как Hystrichopsyllidae прямо названы крупнейшим, но парафилетическим семейством. Это задает разные статусы доказанности для двух блоков отчета: положение Nosopsyllus в Ceratophyllidae можно держать как рабочую устойчивую рамку, а широкое Hystrichopsyllidae надо рассматривать как проблемную традиционную группу. Отдельно важна формулировка о N. fasciatus и N. barbarus: они приведены как Ceratophyllidae-морфоспеции, рассматриваемые как один вид на основе морфологических и молекулярных данных. Но так как полный текст первичной Brill-работы не получен, этот источник используется осторожно: как читаемый пересказ состояния вопроса, а не как подмена первичного доказательства. Поэтому карточка фиксирует не «синонимия доказана нами», а более честную позицию: в текущей базе N. barbarus лучше вести как синонимическую проблему внутри N. fasciatus s.l., пока не проверены первичные данные.</w:t>
      </w:r>
    </w:p>
    <w:p>
      <w:pPr>
        <w:pStyle w:val="Heading3"/>
      </w:pPr>
      <w:r>
        <w:t>Метод и данные</w:t>
      </w:r>
    </w:p>
    <w:p>
      <w:r>
        <w:t>Обзорная таксономическая и филогенетическая работа: авторы сводят данные по современным семействам Siphonaptera, морфологическим трактовкам и молекулярным результатам, а не описывают один новый локальный материал.</w:t>
      </w:r>
    </w:p>
    <w:p>
      <w:pPr>
        <w:pStyle w:val="Heading3"/>
      </w:pPr>
      <w:r>
        <w:t>Что доказывает</w:t>
      </w:r>
    </w:p>
    <w:p>
      <w:r>
        <w:t>Источник доказывает не частную ревизию N. fasciatus, а рамку, внутри которой этот вид и род Nosopsyllus надо читать: Ceratophyllidae рассматриваются как крупное монофилетическое семейство, Hystrichopsyllidae названы парафилетическими, а пара N. fasciatus / N. barbarus дана как морфо-молекулярная проблема, требующая осторожности.</w:t>
      </w:r>
    </w:p>
    <w:p>
      <w:pPr>
        <w:pStyle w:val="Heading3"/>
      </w:pPr>
      <w:r>
        <w:t>Что не доказывает</w:t>
      </w:r>
    </w:p>
    <w:p>
      <w:r>
        <w:t>Источник не заменяет закрытый полный текст Zurita et al. 2018, не показывает первичные таблицы по N. barbarus / N. fasciatus и не дает самостоятельной проверки типовых серий. Поэтому он не может быть единственным основанием для жесткого вывода о синонимии.</w:t>
      </w:r>
    </w:p>
    <w:p>
      <w:pPr>
        <w:pStyle w:val="Heading3"/>
      </w:pPr>
      <w:r>
        <w:t>Ограничения</w:t>
      </w:r>
    </w:p>
    <w:p>
      <w:r>
        <w:t>Это обзорная работа, а не первичная ревизия конкретного вида. Ее сила в широкой рамке и аккуратном пересказе состояния классификации, но для спорного видового вывода по Nosopsyllus нужен доступ к первичным материалам, типовым сериям и полной молекулярной матрице.</w:t>
      </w:r>
    </w:p>
    <w:p>
      <w:pPr>
        <w:pStyle w:val="Heading3"/>
      </w:pPr>
      <w:r>
        <w:t>Вклад в отчет</w:t>
      </w:r>
    </w:p>
    <w:p>
      <w:r>
        <w:t>Карточка F01 объясняет, почему отчет удерживает Nosopsyllus внутри Ceratophyllidae, но не делает вид, что закрытая Brill-статья была прочитана. Она также задает первый аргумент для блока Hystrichopsyllidae: широкая семейная трактовка проблемна и требует родовой проверки.</w:t>
      </w:r>
    </w:p>
    <w:p>
      <w:pPr>
        <w:pStyle w:val="Heading3"/>
      </w:pPr>
      <w:r>
        <w:t>Основные тезисы</w:t>
      </w:r>
    </w:p>
    <w:p>
      <w:pPr>
        <w:pStyle w:val="ListBullet"/>
      </w:pPr>
      <w:r>
        <w:t>Обзор задает масштаб современной классификации Siphonaptera: 19 семейств, около 249 родов, 2215 видов и 714 подвидов.</w:t>
      </w:r>
    </w:p>
    <w:p>
      <w:pPr>
        <w:pStyle w:val="ListBullet"/>
      </w:pPr>
      <w:r>
        <w:t>Ceratophyllidae в рамке обзора описаны как крупнейшее монофилетическое семейство, что поддерживает базовое помещение Nosopsyllus в эту линию.</w:t>
      </w:r>
    </w:p>
    <w:p>
      <w:pPr>
        <w:pStyle w:val="ListBullet"/>
      </w:pPr>
      <w:r>
        <w:t>Hystrichopsyllidae названы крупнейшим, но парафилетическим семейством, поэтому этот блок нельзя вести как стабильную естественную группу без ревизии.</w:t>
      </w:r>
    </w:p>
    <w:p>
      <w:pPr>
        <w:pStyle w:val="ListBullet"/>
      </w:pPr>
      <w:r>
        <w:t>N. fasciatus и N. barbarus приведены как один вид по морфологическим и молекулярным данным, но первичный полный текст по этому выводу не прочитан.</w:t>
      </w:r>
    </w:p>
    <w:p>
      <w:pPr>
        <w:pStyle w:val="ListBullet"/>
      </w:pPr>
      <w:r>
        <w:t>Источник полезен как широкая доказательная рамка, но не как единственный первичный аргумент по спорной видовой синонимии.</w:t>
      </w:r>
    </w:p>
    <w:p>
      <w:pPr>
        <w:pStyle w:val="Heading2"/>
      </w:pPr>
      <w:r>
        <w:t>F02. Zurita &amp; Matthee 2025. Molecular phylogeny of Ceratophyllomorpha</w:t>
      </w:r>
    </w:p>
    <w:p>
      <w:r>
        <w:rPr>
          <w:b/>
        </w:rPr>
        <w:t>Nosopsyllus · полный PDF · основное доказательство</w:t>
      </w:r>
    </w:p>
    <w:p>
      <w:hyperlink r:id="rId42">
        <w:r>
          <w:rPr>
            <w:color w:val="245A52"/>
            <w:u w:val="single"/>
          </w:rPr>
          <w:t>ССЫЛКА</w:t>
        </w:r>
      </w:hyperlink>
      <w:r>
        <w:t xml:space="preserve"> · </w:t>
      </w:r>
      <w:hyperlink r:id="rId43">
        <w:r>
          <w:rPr>
            <w:color w:val="245A52"/>
            <w:u w:val="single"/>
          </w:rPr>
          <w:t>Читать сохраненный документ</w:t>
        </w:r>
      </w:hyperlink>
    </w:p>
    <w:p>
      <w:pPr>
        <w:pStyle w:val="Heading3"/>
      </w:pPr>
      <w:r>
        <w:t>Реферат</w:t>
      </w:r>
    </w:p>
    <w:p>
      <w:r>
        <w:t>Zurita &amp; Matthee 2025 является главным современным молекулярным источником для блока Ceratophyllomorpha. В отличие от справочной базы или обзорной фразы, эта работа дает реальную матрицу: 148 таксонов, 4689 выровненных позиций и семь молекулярных маркеров. Для текущего отчета это важно потому, что Nosopsyllus нельзя обсуждать как изолированное имя. Его надо помещать в контекст семейства Ceratophyllidae и всей надсемейной рамки, где проверяется устойчивость родов и семейных границ. Байесовский анализ поддержал 34 из 48 родов выборки, то есть значительную часть родовой структуры, но не всю. Это сразу задает правильную степень уверенности: семейная рамка полезна, но ревизия не завершена. Источник также важен своей осторожной авторской позицией. Авторы говорят не о закрытой классификации, а о необходимости комплексной таксономической ревизии Siphonaptera, особенно там, где молекулярных данных нет или мало. Для отчета это защищает от простого, но неверного хода: взять текущее имя из базы и объявить вопрос решенным. F02 поддерживает вывод, что Nosopsyllus следует рассматривать внутри Ceratophyllidae, но сам род и спорные видовые границы требуют дополнительной морфологии, географии, типовых серий и расширенной молекулярной выборки.</w:t>
      </w:r>
    </w:p>
    <w:p>
      <w:pPr>
        <w:pStyle w:val="Heading3"/>
      </w:pPr>
      <w:r>
        <w:t>Метод и данные</w:t>
      </w:r>
    </w:p>
    <w:p>
      <w:r>
        <w:t>Молекулярная филогения Ceratophyllomorpha: выборка 148 таксонов, 4689 выровненных позиций и семь маркеров; результат читается как рамка для родов и семейств, а не как одиночная видовая карточка.</w:t>
      </w:r>
    </w:p>
    <w:p>
      <w:pPr>
        <w:pStyle w:val="Heading3"/>
      </w:pPr>
      <w:r>
        <w:t>Что доказывает</w:t>
      </w:r>
    </w:p>
    <w:p>
      <w:r>
        <w:t>Источник доказывает, что Ceratophyllomorpha и Ceratophyllidae должны рассматриваться в современной молекулярной рамке, где большинство родов выборки поддержаны, но сама ревизия Siphonaptera остается неполной. Для Nosopsyllus это подтверждает необходимость смотреть на род внутри большой матрицы.</w:t>
      </w:r>
    </w:p>
    <w:p>
      <w:pPr>
        <w:pStyle w:val="Heading3"/>
      </w:pPr>
      <w:r>
        <w:t>Что не доказывает</w:t>
      </w:r>
    </w:p>
    <w:p>
      <w:r>
        <w:t>Источник не доказывает самостоятельную видовую ревизию N. fasciatus, не решает вопрос N. barbarus и не заменяет проверку типовых серий. Он задает филогенетический контекст, но не закрывает частный номенклатурный спор.</w:t>
      </w:r>
    </w:p>
    <w:p>
      <w:pPr>
        <w:pStyle w:val="Heading3"/>
      </w:pPr>
      <w:r>
        <w:t>Ограничения</w:t>
      </w:r>
    </w:p>
    <w:p>
      <w:r>
        <w:t>Даже при сильной выборке авторы прямо указывают на нехватку молекулярных данных для части таксонов. Поэтому результат нельзя превращать в окончательную классификацию всех родов; он показывает направление ревизии и границы уверенности.</w:t>
      </w:r>
    </w:p>
    <w:p>
      <w:pPr>
        <w:pStyle w:val="Heading3"/>
      </w:pPr>
      <w:r>
        <w:t>Вклад в отчет</w:t>
      </w:r>
    </w:p>
    <w:p>
      <w:r>
        <w:t>Карточка F02 дает молекулярный каркас для первого раздела отчета: Nosopsyllus удерживается в современной рамке Ceratophyllidae, но вопрос видовых границ не объявляется закрытым.</w:t>
      </w:r>
    </w:p>
    <w:p>
      <w:pPr>
        <w:pStyle w:val="Heading3"/>
      </w:pPr>
      <w:r>
        <w:t>Основные тезисы</w:t>
      </w:r>
    </w:p>
    <w:p>
      <w:pPr>
        <w:pStyle w:val="ListBullet"/>
      </w:pPr>
      <w:r>
        <w:t>В анализ включены 148 таксонов Ceratophyllomorpha, 4689 выровненных позиций и семь маркеров.</w:t>
      </w:r>
    </w:p>
    <w:p>
      <w:pPr>
        <w:pStyle w:val="ListBullet"/>
      </w:pPr>
      <w:r>
        <w:t>Байесовский анализ поддержал 34 из 48 родов выборки, что показывает силу, но не полноту текущей родовой рамки.</w:t>
      </w:r>
    </w:p>
    <w:p>
      <w:pPr>
        <w:pStyle w:val="ListBullet"/>
      </w:pPr>
      <w:r>
        <w:t>Большинство представителей Leptopsyllidae, Ceratophyllidae и Ischnopsyllidae в выборке поддержаны как монофилетические.</w:t>
      </w:r>
    </w:p>
    <w:p>
      <w:pPr>
        <w:pStyle w:val="ListBullet"/>
      </w:pPr>
      <w:r>
        <w:t>Авторы связывают диверсификацию Ceratophyllomorpha с хозяевами и географическим распределением.</w:t>
      </w:r>
    </w:p>
    <w:p>
      <w:pPr>
        <w:pStyle w:val="ListBullet"/>
      </w:pPr>
      <w:r>
        <w:t>Работа прямо требует комплексной ревизии Siphonaptera там, где молекулярных данных мало.</w:t>
      </w:r>
    </w:p>
    <w:p>
      <w:pPr>
        <w:pStyle w:val="Heading2"/>
      </w:pPr>
      <w:r>
        <w:t>F03. Fu et al. 2024. Complete mitochondrial genome of Nosopsyllus laeviceps</w:t>
      </w:r>
    </w:p>
    <w:p>
      <w:r>
        <w:rPr>
          <w:b/>
        </w:rPr>
        <w:t>Nosopsyllus · полный HTML · дополнительное доказательство</w:t>
      </w:r>
    </w:p>
    <w:p>
      <w:hyperlink r:id="rId44">
        <w:r>
          <w:rPr>
            <w:color w:val="245A52"/>
            <w:u w:val="single"/>
          </w:rPr>
          <w:t>ССЫЛКА</w:t>
        </w:r>
      </w:hyperlink>
      <w:r>
        <w:t xml:space="preserve"> · </w:t>
      </w:r>
      <w:hyperlink r:id="rId45">
        <w:r>
          <w:rPr>
            <w:color w:val="245A52"/>
            <w:u w:val="single"/>
          </w:rPr>
          <w:t>Читать сохраненный документ</w:t>
        </w:r>
      </w:hyperlink>
    </w:p>
    <w:p>
      <w:pPr>
        <w:pStyle w:val="Heading3"/>
      </w:pPr>
      <w:r>
        <w:t>Реферат</w:t>
      </w:r>
    </w:p>
    <w:p>
      <w:r>
        <w:t>Fu et al. 2024 важна для отчета тем, что переводит Nosopsyllus из справочной плоскости в плоскость реальных молекулярных данных. В статье получен полный митохондриальный геном Nosopsyllus laeviceps длиной 16533 п.н. с типичным набором из 37 генов, а филогеномика построена по 13 митохондриальным белок-кодирующим генам. Это не материал по N. fasciatus, но это прямое свидетельство, что род уже входит в современные митогеномные матрицы и может сравниваться с другими родами Siphonaptera. Главный вклад статьи для текущей работы не в том, что она «решает» Nosopsyllus, а в обратном: она показывает, насколько осторожно надо обращаться с митогеномными деревьями. Авторы получили разные топологии, и обе указывают на признаки парафилии Ceratophyllidae, Leptopsyllidae и Ctenophthalmidae; в BI-топологии также проявляется парафилия Hystrichopsyllidae, тогда как ML поддерживает ее иначе. Поэтому F03 используется как аргумент против преждевременного вывода. Один новый митогеном помогает включить род в анализ, но не заменяет полноценную ревизию с ядерными маркерами, морфологией и типовым материалом.</w:t>
      </w:r>
    </w:p>
    <w:p>
      <w:pPr>
        <w:pStyle w:val="Heading3"/>
      </w:pPr>
      <w:r>
        <w:t>Метод и данные</w:t>
      </w:r>
    </w:p>
    <w:p>
      <w:r>
        <w:t>Митогеномика: описание полного митохондриального генома Nosopsyllus laeviceps и филогенетический анализ по 13 митохондриальным белок-кодирующим генам.</w:t>
      </w:r>
    </w:p>
    <w:p>
      <w:pPr>
        <w:pStyle w:val="Heading3"/>
      </w:pPr>
      <w:r>
        <w:t>Что доказывает</w:t>
      </w:r>
    </w:p>
    <w:p>
      <w:r>
        <w:t>Источник доказывает, что род Nosopsyllus уже представлен в современной митогеномной работе, а семейные топологии вокруг Ceratophyllidae и смежных групп остаются нестабильными. Он усиливает тезис о необходимости интегративной ревизии рода.</w:t>
      </w:r>
    </w:p>
    <w:p>
      <w:pPr>
        <w:pStyle w:val="Heading3"/>
      </w:pPr>
      <w:r>
        <w:t>Что не доказывает</w:t>
      </w:r>
    </w:p>
    <w:p>
      <w:r>
        <w:t>Источник не доказывает систематику N. fasciatus, не проверяет N. barbarus и не является ревизией всего рода Nosopsyllus. Данные по N. laeviceps нельзя автоматически переносить на видовой комплекс N. fasciatus s.l.</w:t>
      </w:r>
    </w:p>
    <w:p>
      <w:pPr>
        <w:pStyle w:val="Heading3"/>
      </w:pPr>
      <w:r>
        <w:t>Ограничения</w:t>
      </w:r>
    </w:p>
    <w:p>
      <w:r>
        <w:t>Митогеном полезен, но это один митохондриальный набор по одному виду. Без ядерных маркеров, морфологии, типовых серий и широкой географии такая работа не может закрыть родовую или семейную классификацию.</w:t>
      </w:r>
    </w:p>
    <w:p>
      <w:pPr>
        <w:pStyle w:val="Heading3"/>
      </w:pPr>
      <w:r>
        <w:t>Вклад в отчет</w:t>
      </w:r>
    </w:p>
    <w:p>
      <w:r>
        <w:t>Карточка F03 поддерживает вывод, что Nosopsyllus нельзя ревизовать по одному источнику: даже новый митогеном дает сигнал, который требует проверки другими маркерами и морфологией.</w:t>
      </w:r>
    </w:p>
    <w:p>
      <w:pPr>
        <w:pStyle w:val="Heading3"/>
      </w:pPr>
      <w:r>
        <w:t>Основные тезисы</w:t>
      </w:r>
    </w:p>
    <w:p>
      <w:pPr>
        <w:pStyle w:val="ListBullet"/>
      </w:pPr>
      <w:r>
        <w:t>Описан полный митогеном Nosopsyllus laeviceps длиной 16533 п.н.</w:t>
      </w:r>
    </w:p>
    <w:p>
      <w:pPr>
        <w:pStyle w:val="ListBullet"/>
      </w:pPr>
      <w:r>
        <w:t>Геном содержит 37 типичных митохондриальных генов.</w:t>
      </w:r>
    </w:p>
    <w:p>
      <w:pPr>
        <w:pStyle w:val="ListBullet"/>
      </w:pPr>
      <w:r>
        <w:t>Филогенетический анализ построен по 13 митохондриальным белок-кодирующим генам.</w:t>
      </w:r>
    </w:p>
    <w:p>
      <w:pPr>
        <w:pStyle w:val="ListBullet"/>
      </w:pPr>
      <w:r>
        <w:t>Разные топологии дают признаки парафилии Ceratophyllidae, Leptopsyllidae и Ctenophthalmidae.</w:t>
      </w:r>
    </w:p>
    <w:p>
      <w:pPr>
        <w:pStyle w:val="ListBullet"/>
      </w:pPr>
      <w:r>
        <w:t>Работа показывает полезность митогенома, но не закрывает родовую ревизию Nosopsyllus.</w:t>
      </w:r>
    </w:p>
    <w:p>
      <w:pPr>
        <w:pStyle w:val="Heading2"/>
      </w:pPr>
      <w:r>
        <w:t>F04. Zhang et al. 2022. Mitochondrial phylogenomics provides insights into the taxonomy and phylogeny of fleas</w:t>
      </w:r>
    </w:p>
    <w:p>
      <w:r>
        <w:rPr>
          <w:b/>
        </w:rPr>
        <w:t>Hystrichopsyllidae · полный HTML · дополнительное доказательство</w:t>
      </w:r>
    </w:p>
    <w:p>
      <w:hyperlink r:id="rId46">
        <w:r>
          <w:rPr>
            <w:color w:val="245A52"/>
            <w:u w:val="single"/>
          </w:rPr>
          <w:t>ССЫЛКА</w:t>
        </w:r>
      </w:hyperlink>
      <w:r>
        <w:t xml:space="preserve"> · </w:t>
      </w:r>
      <w:hyperlink r:id="rId47">
        <w:r>
          <w:rPr>
            <w:color w:val="245A52"/>
            <w:u w:val="single"/>
          </w:rPr>
          <w:t>Читать сохраненный документ</w:t>
        </w:r>
      </w:hyperlink>
    </w:p>
    <w:p>
      <w:pPr>
        <w:pStyle w:val="Heading3"/>
      </w:pPr>
      <w:r>
        <w:t>Реферат</w:t>
      </w:r>
    </w:p>
    <w:p>
      <w:r>
        <w:t>Zhang et al. 2022 выполняет в доказательной базе роль методического источника. Эта статья не является главным доказательством по Nosopsyllus или Hystrichopsyllidae, но она объясняет, почему в текущем отчете вообще используются митогеномные работы. Авторы декодировали полный митогеном Pulex irritans и почти полный митогеном Ctenocephalides canis; оба содержат стандартный набор из 37 генов: 13 белок-кодирующих, 22 tRNA и 2 rRNA. За счет этого источник показывает, какие данные обычно лежат под фразой «митогеномика» в систематике блох. Для отчета особенно важно ограничение: митогеномы полезны для различения видов и реконструкции филогении, но их сила зависит от покрытия таксонов. Поэтому F04 используется как методическая рамка для чтения F03, F05, F06 и F07. Он помогает объяснить владельцу результата, почему статьи с митогеномами важны, но одновременно почему нельзя просто взять одно митохондриальное дерево и объявить ревизию завершенной. В эта карточка нужна как мост между отдельными митогеномными источниками и более общей логикой доказательства: метод ценен, но окончательный вывод требует нескольких линий данных.</w:t>
      </w:r>
    </w:p>
    <w:p>
      <w:pPr>
        <w:pStyle w:val="Heading3"/>
      </w:pPr>
      <w:r>
        <w:t>Метод и данные</w:t>
      </w:r>
    </w:p>
    <w:p>
      <w:r>
        <w:t>Митохондриальная филогеномика: декодирование митогеномов и использование митохондриальных последовательностей для видовой идентификации и реконструкции отношений между блохами.</w:t>
      </w:r>
    </w:p>
    <w:p>
      <w:pPr>
        <w:pStyle w:val="Heading3"/>
      </w:pPr>
      <w:r>
        <w:t>Что доказывает</w:t>
      </w:r>
    </w:p>
    <w:p>
      <w:r>
        <w:t>Источник доказывает методическую ценность митогеномов для систематики блох: полный или почти полный митогеном может помогать различать виды и строить филогению. В отчете он служит не главным таксономическим доказательством, а проверкой метода.</w:t>
      </w:r>
    </w:p>
    <w:p>
      <w:pPr>
        <w:pStyle w:val="Heading3"/>
      </w:pPr>
      <w:r>
        <w:t>Что не доказывает</w:t>
      </w:r>
    </w:p>
    <w:p>
      <w:r>
        <w:t>Источник не ревизует Hystrichopsyllidae напрямую, не решает положение Nosopsyllus и не дает готовой классификации всех проблемных родов. Его нельзя использовать как прямое доказательство по конкретным спорным таксонам текущей работы.</w:t>
      </w:r>
    </w:p>
    <w:p>
      <w:pPr>
        <w:pStyle w:val="Heading3"/>
      </w:pPr>
      <w:r>
        <w:t>Ограничения</w:t>
      </w:r>
    </w:p>
    <w:p>
      <w:r>
        <w:t>Методическая ценность зависит от таксонного покрытия и сопоставления с другими типами данных. Митохондриальная матрица без достаточной выборки может показывать полезный сигнал, но не должна превращаться в окончательную систематику.</w:t>
      </w:r>
    </w:p>
    <w:p>
      <w:pPr>
        <w:pStyle w:val="Heading3"/>
      </w:pPr>
      <w:r>
        <w:t>Вклад в отчет</w:t>
      </w:r>
    </w:p>
    <w:p>
      <w:r>
        <w:t>Карточка F04 объясняет, почему митогеномные источники принимаются в доказательную базу, но не считаются самодостаточной заменой интегративной ревизии.</w:t>
      </w:r>
    </w:p>
    <w:p>
      <w:pPr>
        <w:pStyle w:val="Heading3"/>
      </w:pPr>
      <w:r>
        <w:t>Основные тезисы</w:t>
      </w:r>
    </w:p>
    <w:p>
      <w:pPr>
        <w:pStyle w:val="ListBullet"/>
      </w:pPr>
      <w:r>
        <w:t>Декодированы полный митогеном Pulex irritans и почти полный митогеном Ctenocephalides canis.</w:t>
      </w:r>
    </w:p>
    <w:p>
      <w:pPr>
        <w:pStyle w:val="ListBullet"/>
      </w:pPr>
      <w:r>
        <w:t>Оба генома имеют стандартный набор из 37 генов.</w:t>
      </w:r>
    </w:p>
    <w:p>
      <w:pPr>
        <w:pStyle w:val="ListBullet"/>
      </w:pPr>
      <w:r>
        <w:t>Митогеномы полезны для видовой идентификации и реконструкции филогении.</w:t>
      </w:r>
    </w:p>
    <w:p>
      <w:pPr>
        <w:pStyle w:val="ListBullet"/>
      </w:pPr>
      <w:r>
        <w:t>Качество вывода зависит от таксонного покрытия и сравнения с другими данными.</w:t>
      </w:r>
    </w:p>
    <w:p>
      <w:pPr>
        <w:pStyle w:val="ListBullet"/>
      </w:pPr>
      <w:r>
        <w:t>Источник задает методическую осторожность для всех митогеномных работ в доказательной базе.</w:t>
      </w:r>
    </w:p>
    <w:p>
      <w:pPr>
        <w:pStyle w:val="Heading2"/>
      </w:pPr>
      <w:r>
        <w:t>F05. Chen et al. 2023. Complete mitochondrial genome of Ctenophthalmus quadratus and Stenischia humilis</w:t>
      </w:r>
    </w:p>
    <w:p>
      <w:r>
        <w:rPr>
          <w:b/>
        </w:rPr>
        <w:t>Hystrichopsyllidae · полный HTML · основное доказательство</w:t>
      </w:r>
    </w:p>
    <w:p>
      <w:hyperlink r:id="rId48">
        <w:r>
          <w:rPr>
            <w:color w:val="245A52"/>
            <w:u w:val="single"/>
          </w:rPr>
          <w:t>ССЫЛКА</w:t>
        </w:r>
      </w:hyperlink>
      <w:r>
        <w:t xml:space="preserve"> · </w:t>
      </w:r>
      <w:hyperlink r:id="rId49">
        <w:r>
          <w:rPr>
            <w:color w:val="245A52"/>
            <w:u w:val="single"/>
          </w:rPr>
          <w:t>Читать сохраненный документ</w:t>
        </w:r>
      </w:hyperlink>
    </w:p>
    <w:p>
      <w:pPr>
        <w:pStyle w:val="Heading3"/>
      </w:pPr>
      <w:r>
        <w:t>Реферат</w:t>
      </w:r>
    </w:p>
    <w:p>
      <w:r>
        <w:t>Chen et al. 2023 является одним из основных источников по проблеме Hystrichopsyllidae в текущей доказательной базе. В отличие от общего методического источника, здесь есть прямой материал по таксонам, которые находятся рядом с ядром спорной семейной зоны: Ctenophthalmus quadratus и Stenischia humilis. В статье указаны размеры их митогеномов - 15938 и 15617 п.н., причем оба содержат стандартный набор из 37 генов. Это делает источник пригодным не только для справки, но и для сравнения родовых связей. Главный результат для отчета - филогенетическое сближение этих таксонов с Hystrichopsylla weida qinlingensis и прямое указание авторов на парафилию Hystrichopsyllidae в их митогеномной выборке. Поэтому F05 фиксирует не декоративный факт о новом геноме, а реальное основание для осторожного вывода: широкую традиционную трактовку Hystrichopsyllidae нельзя использовать как естественную группу без проверки родов. При этом карточка специально отделяет доказанный сигнал от финальной классификации: статья не покрывает все роды и не отменяет необходимость ядерных маркеров и морфологии.</w:t>
      </w:r>
    </w:p>
    <w:p>
      <w:pPr>
        <w:pStyle w:val="Heading3"/>
      </w:pPr>
      <w:r>
        <w:t>Метод и данные</w:t>
      </w:r>
    </w:p>
    <w:p>
      <w:r>
        <w:t>Митогеномика двух таксонов, связанных с проблемной зоной Hystrichopsyllidae/Ctenophthalmidae: описание геномов Ctenophthalmus quadratus и Stenischia humilis плюс филогенетический анализ.</w:t>
      </w:r>
    </w:p>
    <w:p>
      <w:pPr>
        <w:pStyle w:val="Heading3"/>
      </w:pPr>
      <w:r>
        <w:t>Что доказывает</w:t>
      </w:r>
    </w:p>
    <w:p>
      <w:r>
        <w:t>Источник доказывает прямой молекулярный сигнал по Ctenophthalmus и Stenischia: оба таксона сближаются с Hystrichopsylla weida qinlingensis, а выбранная матрица указывает на парафилию Hystrichopsyllidae. Это один из главных аргументов для родовой ревизии.</w:t>
      </w:r>
    </w:p>
    <w:p>
      <w:pPr>
        <w:pStyle w:val="Heading3"/>
      </w:pPr>
      <w:r>
        <w:t>Что не доказывает</w:t>
      </w:r>
    </w:p>
    <w:p>
      <w:r>
        <w:t>Источник не покрывает все роды Hystrichopsyllidae и не дает финальную семейную классификацию. Он показывает проблемный сигнал в конкретной матрице, но не разрешает всю систематику надсемейства.</w:t>
      </w:r>
    </w:p>
    <w:p>
      <w:pPr>
        <w:pStyle w:val="Heading3"/>
      </w:pPr>
      <w:r>
        <w:t>Ограничения</w:t>
      </w:r>
    </w:p>
    <w:p>
      <w:r>
        <w:t>Вывод зависит от набора митогеномов и состава сравниваемых таксонов. Для переноса на семейный уровень нужны дополнительные роды, ядерные маркеры, морфология и сопоставление с другими матрицами.</w:t>
      </w:r>
    </w:p>
    <w:p>
      <w:pPr>
        <w:pStyle w:val="Heading3"/>
      </w:pPr>
      <w:r>
        <w:t>Вклад в отчет</w:t>
      </w:r>
    </w:p>
    <w:p>
      <w:r>
        <w:t>Карточка F05 дает один из центральных аргументов: семейные границы вокруг Hystrichopsyllidae надо проверять род за родом, а не принимать по традиционной широкой схеме.</w:t>
      </w:r>
    </w:p>
    <w:p>
      <w:pPr>
        <w:pStyle w:val="Heading3"/>
      </w:pPr>
      <w:r>
        <w:t>Основные тезисы</w:t>
      </w:r>
    </w:p>
    <w:p>
      <w:pPr>
        <w:pStyle w:val="ListBullet"/>
      </w:pPr>
      <w:r>
        <w:t>Описаны митогеномы Ctenophthalmus quadratus и Stenischia humilis.</w:t>
      </w:r>
    </w:p>
    <w:p>
      <w:pPr>
        <w:pStyle w:val="ListBullet"/>
      </w:pPr>
      <w:r>
        <w:t>Размеры митогеномов составляют 15938 и 15617 п.н.</w:t>
      </w:r>
    </w:p>
    <w:p>
      <w:pPr>
        <w:pStyle w:val="ListBullet"/>
      </w:pPr>
      <w:r>
        <w:t>Оба митогенома содержат стандартные 37 генов.</w:t>
      </w:r>
    </w:p>
    <w:p>
      <w:pPr>
        <w:pStyle w:val="ListBullet"/>
      </w:pPr>
      <w:r>
        <w:t>Филогенетический анализ сближает эти таксоны с Hystrichopsylla weida qinlingensis.</w:t>
      </w:r>
    </w:p>
    <w:p>
      <w:pPr>
        <w:pStyle w:val="ListBullet"/>
      </w:pPr>
      <w:r>
        <w:t>Авторы указывают на парафилию Hystrichopsyllidae в данной митогеномной выборке.</w:t>
      </w:r>
    </w:p>
    <w:p>
      <w:pPr>
        <w:pStyle w:val="Heading2"/>
      </w:pPr>
      <w:r>
        <w:t>F06. Tan et al. 2023. Complete mitochondrial genome of Hystrichopsylla weida qinlingensis</w:t>
      </w:r>
    </w:p>
    <w:p>
      <w:r>
        <w:rPr>
          <w:b/>
        </w:rPr>
        <w:t>Hystrichopsyllidae · полный HTML · основное доказательство</w:t>
      </w:r>
    </w:p>
    <w:p>
      <w:hyperlink r:id="rId50">
        <w:r>
          <w:rPr>
            <w:color w:val="245A52"/>
            <w:u w:val="single"/>
          </w:rPr>
          <w:t>ССЫЛКА</w:t>
        </w:r>
      </w:hyperlink>
      <w:r>
        <w:t xml:space="preserve"> · </w:t>
      </w:r>
      <w:hyperlink r:id="rId51">
        <w:r>
          <w:rPr>
            <w:color w:val="245A52"/>
            <w:u w:val="single"/>
          </w:rPr>
          <w:t>Читать сохраненный документ</w:t>
        </w:r>
      </w:hyperlink>
    </w:p>
    <w:p>
      <w:pPr>
        <w:pStyle w:val="Heading3"/>
      </w:pPr>
      <w:r>
        <w:t>Реферат</w:t>
      </w:r>
    </w:p>
    <w:p>
      <w:r>
        <w:t>Tan et al. 2023 нужен в доказательной базе как прямой источник по Hystrichopsylla, то есть по роду, который находится в центре обсуждения Hystrichopsyllidae. Статья описывает митогеном Hystrichopsylla weida qinlingensis длиной 17173 п.н.; геном содержит стандартные 37 генов и высокий A+T-состав 80,59 процента. Эти сведения сами по себе еще не являются ревизией семейства, но дают проверяемый молекулярный материал по ключевому роду. В текущем отчете F06 работает вместе с F05: если F05 показывает сближение Ctenophthalmus и Stenischia с Hystrichopsylla, то F06 дает собственную точку по Hystrichopsylla и помещает ее рядом с ветвью Dorcadia. Поэтому карточка важна для сравнения родов, а не для одиночного вывода. Ограничение остается принципиальным: один митогеном не может заменить комплексную ревизию. Источник поддерживает логику «сначала собрать родовые опоры, потом пересматривать семейные границы», а не логику мгновенного переименования всей группы. В эта карточка становится контрольной точкой для вопроса, какие роды уже имеют прямой молекулярный материал.</w:t>
      </w:r>
    </w:p>
    <w:p>
      <w:pPr>
        <w:pStyle w:val="Heading3"/>
      </w:pPr>
      <w:r>
        <w:t>Метод и данные</w:t>
      </w:r>
    </w:p>
    <w:p>
      <w:r>
        <w:t>Митогеномика Hystrichopsylla: описание митогенома Hystrichopsylla weida qinlingensis и его включение в филогенетическое сравнение с близкими ветвями.</w:t>
      </w:r>
    </w:p>
    <w:p>
      <w:pPr>
        <w:pStyle w:val="Heading3"/>
      </w:pPr>
      <w:r>
        <w:t>Что доказывает</w:t>
      </w:r>
    </w:p>
    <w:p>
      <w:r>
        <w:t>Источник доказывает наличие прямого митогеномного материала по Hystrichopsylla и показывает ее связь с ветвью Dorcadia. Для отчета это родовая точка привязки внутри блока Hystrichopsyllidae.</w:t>
      </w:r>
    </w:p>
    <w:p>
      <w:pPr>
        <w:pStyle w:val="Heading3"/>
      </w:pPr>
      <w:r>
        <w:t>Что не доказывает</w:t>
      </w:r>
    </w:p>
    <w:p>
      <w:r>
        <w:t>Источник не решает границы всего семейства, не покрывает полный набор родов и не может один объяснить парафилию или монофилию Hystrichopsyllidae. Он является важной частью матрицы, но не полной ревизией.</w:t>
      </w:r>
    </w:p>
    <w:p>
      <w:pPr>
        <w:pStyle w:val="Heading3"/>
      </w:pPr>
      <w:r>
        <w:t>Ограничения</w:t>
      </w:r>
    </w:p>
    <w:p>
      <w:r>
        <w:t>Один родовой митогеном дает необходимую опору, но не достаточен для семейного вывода. Требуются дополнительные представители, ядерные маркеры, морфология и сравнение с F05, F07 и F08.</w:t>
      </w:r>
    </w:p>
    <w:p>
      <w:pPr>
        <w:pStyle w:val="Heading3"/>
      </w:pPr>
      <w:r>
        <w:t>Вклад в отчет</w:t>
      </w:r>
    </w:p>
    <w:p>
      <w:r>
        <w:t>Карточка F06 связывает выводы F05 с собственно Hystrichopsylla и укрепляет блок, где Hystrichopsyllidae рассматриваются как группа, требующая родовой ревизии.</w:t>
      </w:r>
    </w:p>
    <w:p>
      <w:pPr>
        <w:pStyle w:val="Heading3"/>
      </w:pPr>
      <w:r>
        <w:t>Основные тезисы</w:t>
      </w:r>
    </w:p>
    <w:p>
      <w:pPr>
        <w:pStyle w:val="ListBullet"/>
      </w:pPr>
      <w:r>
        <w:t>Митогеном Hystrichopsylla weida qinlingensis имеет длину 17173 п.н.</w:t>
      </w:r>
    </w:p>
    <w:p>
      <w:pPr>
        <w:pStyle w:val="ListBullet"/>
      </w:pPr>
      <w:r>
        <w:t>Геном содержит стандартные 37 митохондриальных генов.</w:t>
      </w:r>
    </w:p>
    <w:p>
      <w:pPr>
        <w:pStyle w:val="ListBullet"/>
      </w:pPr>
      <w:r>
        <w:t>A+T-состав указан как 80,59 процента.</w:t>
      </w:r>
    </w:p>
    <w:p>
      <w:pPr>
        <w:pStyle w:val="ListBullet"/>
      </w:pPr>
      <w:r>
        <w:t>Филогенетический анализ помещает Hystrichopsylla рядом с ветвью Dorcadia.</w:t>
      </w:r>
    </w:p>
    <w:p>
      <w:pPr>
        <w:pStyle w:val="ListBullet"/>
      </w:pPr>
      <w:r>
        <w:t>Источник дает родовую опору, но не закрывает семейную ревизию.</w:t>
      </w:r>
    </w:p>
    <w:p>
      <w:pPr>
        <w:pStyle w:val="Heading2"/>
      </w:pPr>
      <w:r>
        <w:t>F07. Chen et al. 2024. Mitochondrial genomes of Paradoxopsyllus custodis and Stenischia montanis yunlongensis</w:t>
      </w:r>
    </w:p>
    <w:p>
      <w:r>
        <w:rPr>
          <w:b/>
        </w:rPr>
        <w:t>Hystrichopsyllidae · полный HTML · дополнительное доказательство</w:t>
      </w:r>
    </w:p>
    <w:p>
      <w:hyperlink r:id="rId52">
        <w:r>
          <w:rPr>
            <w:color w:val="245A52"/>
            <w:u w:val="single"/>
          </w:rPr>
          <w:t>ССЫЛКА</w:t>
        </w:r>
      </w:hyperlink>
      <w:r>
        <w:t xml:space="preserve"> · </w:t>
      </w:r>
      <w:hyperlink r:id="rId53">
        <w:r>
          <w:rPr>
            <w:color w:val="245A52"/>
            <w:u w:val="single"/>
          </w:rPr>
          <w:t>Читать сохраненный документ</w:t>
        </w:r>
      </w:hyperlink>
    </w:p>
    <w:p>
      <w:pPr>
        <w:pStyle w:val="Heading3"/>
      </w:pPr>
      <w:r>
        <w:t>Реферат</w:t>
      </w:r>
    </w:p>
    <w:p>
      <w:r>
        <w:t>Chen et al. 2024 добавляет к доказательной базе два важных рода: Paradoxopsyllus custodis и Stenischia montanis yunlongensis. Их митогеномы имеют длину 15375 и 15651 п.н. и включают 37 генов. Для текущей доказательной базы источник полезен не только числами, а тем, что продолжает линию F05 и F06: роды из проблемной зоны Siphonaptera проверяются через новые митогеномные данные, а результат снова показывает нестабильность традиционных семейных рамок. В работе ML и BI анализы поддержали парафилию Leptopsyllidae в данной матрице. Это не прямой вывод о Hystrichopsyllidae, но важный сравнительный сигнал: семейные границы в этой части классификации нельзя воспринимать как простую готовую схему. Карточка F07 поэтому включена как дополнительное доказательство к блоку родовой ревизии. Она не заменяет F05, где прямо говорится о Hystrichopsyllidae, но помогает показать повторяемость проблемы: разные матрицы и разные роды дают основания для осторожного пересмотра, а не для механического доверия старой классификации.</w:t>
      </w:r>
    </w:p>
    <w:p>
      <w:pPr>
        <w:pStyle w:val="Heading3"/>
      </w:pPr>
      <w:r>
        <w:t>Метод и данные</w:t>
      </w:r>
    </w:p>
    <w:p>
      <w:r>
        <w:t>Митогеномика Paradoxopsyllus и Stenischia: описание двух митогеномов и построение ML/BI деревьев для проверки семейных и родовых отношений.</w:t>
      </w:r>
    </w:p>
    <w:p>
      <w:pPr>
        <w:pStyle w:val="Heading3"/>
      </w:pPr>
      <w:r>
        <w:t>Что доказывает</w:t>
      </w:r>
    </w:p>
    <w:p>
      <w:r>
        <w:t>Источник доказывает, что нестабильность семейных границ повторяется и в других матрицах Siphonaptera: в этой работе ML и BI поддержали парафилию Leptopsyllidae, а Stenischia снова присутствует в зоне сравнения.</w:t>
      </w:r>
    </w:p>
    <w:p>
      <w:pPr>
        <w:pStyle w:val="Heading3"/>
      </w:pPr>
      <w:r>
        <w:t>Что не доказывает</w:t>
      </w:r>
    </w:p>
    <w:p>
      <w:r>
        <w:t>Источник не является прямой ревизией Hystrichopsyllidae и не закрывает положение всех смежных родов. Его выводы нельзя механически переносить на каждую семейную группу без проверки состава матрицы.</w:t>
      </w:r>
    </w:p>
    <w:p>
      <w:pPr>
        <w:pStyle w:val="Heading3"/>
      </w:pPr>
      <w:r>
        <w:t>Ограничения</w:t>
      </w:r>
    </w:p>
    <w:p>
      <w:r>
        <w:t>Работа расширяет молекулярную базу, но остается митогеномной. Для итоговой классификации нужны независимые данные, особенно ядерные маркеры и морфологическая диагностика родов.</w:t>
      </w:r>
    </w:p>
    <w:p>
      <w:pPr>
        <w:pStyle w:val="Heading3"/>
      </w:pPr>
      <w:r>
        <w:t>Вклад в отчет</w:t>
      </w:r>
    </w:p>
    <w:p>
      <w:r>
        <w:t>Карточка F07 усиливает осторожность отчета: даже смежные семейные группы проявляют нестабильность, поэтому ревизия должна идти через сравнение матриц, а не через один источник.</w:t>
      </w:r>
    </w:p>
    <w:p>
      <w:pPr>
        <w:pStyle w:val="Heading3"/>
      </w:pPr>
      <w:r>
        <w:t>Основные тезисы</w:t>
      </w:r>
    </w:p>
    <w:p>
      <w:pPr>
        <w:pStyle w:val="ListBullet"/>
      </w:pPr>
      <w:r>
        <w:t>Описаны митогеномы Paradoxopsyllus custodis и Stenischia montanis yunlongensis.</w:t>
      </w:r>
    </w:p>
    <w:p>
      <w:pPr>
        <w:pStyle w:val="ListBullet"/>
      </w:pPr>
      <w:r>
        <w:t>Длины митогеномов составляют 15375 и 15651 п.н.</w:t>
      </w:r>
    </w:p>
    <w:p>
      <w:pPr>
        <w:pStyle w:val="ListBullet"/>
      </w:pPr>
      <w:r>
        <w:t>Оба генома включают стандартные 37 генов.</w:t>
      </w:r>
    </w:p>
    <w:p>
      <w:pPr>
        <w:pStyle w:val="ListBullet"/>
      </w:pPr>
      <w:r>
        <w:t>ML и BI анализы поддержали парафилию Leptopsyllidae в данной матрице.</w:t>
      </w:r>
    </w:p>
    <w:p>
      <w:pPr>
        <w:pStyle w:val="ListBullet"/>
      </w:pPr>
      <w:r>
        <w:t>Источник показывает повторяемость проблемы семейных границ в Siphonaptera.</w:t>
      </w:r>
    </w:p>
    <w:p>
      <w:pPr>
        <w:pStyle w:val="Heading2"/>
      </w:pPr>
      <w:r>
        <w:t>F08. Zhou et al. 2024. Taxonomy and phylogeny of rodents parasitic fleas in southeastern China</w:t>
      </w:r>
    </w:p>
    <w:p>
      <w:r>
        <w:rPr>
          <w:b/>
        </w:rPr>
        <w:t>Hystrichopsyllidae · полный HTML · основное доказательство</w:t>
      </w:r>
    </w:p>
    <w:p>
      <w:hyperlink r:id="rId54">
        <w:r>
          <w:rPr>
            <w:color w:val="245A52"/>
            <w:u w:val="single"/>
          </w:rPr>
          <w:t>ССЫЛКА</w:t>
        </w:r>
      </w:hyperlink>
      <w:r>
        <w:t xml:space="preserve"> · </w:t>
      </w:r>
      <w:hyperlink r:id="rId55">
        <w:r>
          <w:rPr>
            <w:color w:val="245A52"/>
            <w:u w:val="single"/>
          </w:rPr>
          <w:t>Читать сохраненный документ</w:t>
        </w:r>
      </w:hyperlink>
    </w:p>
    <w:p>
      <w:pPr>
        <w:pStyle w:val="Heading3"/>
      </w:pPr>
      <w:r>
        <w:t>Реферат</w:t>
      </w:r>
    </w:p>
    <w:p>
      <w:r>
        <w:t>Zhou et al. 2024 включен в исследование как образец полноценной ревизионной логики. В работе исследованы 392 блохи от 8 видов грызунов из 10 уездов; морфологически выделены 10 видов, 9 родов и 5 семейств. Важная часть источника - не только результат, но и дизайн: авторы используют COI и пять маркеров, включая 18S rDNA, 28S rDNA, EF-1a, COI и COII. Такой набор делает работу полезной как стандарт сравнения для будущей ревизии Nosopsyllus и Hystrichopsyllidae. Для текущего отчета F08 показывает, почему простая морфологическая запись или одиночный митогеном недостаточны. В выборке Ctenophthalmidae оказались парафилетичными, а Hystrichopsylloidea не выглядит простой устойчивой группой. Это согласуется с осторожными выводами F05-F07: семейные и родовые границы надо проверять несколькими линиями данных. Одновременно карточка ограничивает перенос результата: китайская региональная выборка не доказывает положение закавказских или европейских таксонов, но показывает качество данных, к которому должна стремиться полноценная ревизия.</w:t>
      </w:r>
    </w:p>
    <w:p>
      <w:pPr>
        <w:pStyle w:val="Heading3"/>
      </w:pPr>
      <w:r>
        <w:t>Метод и данные</w:t>
      </w:r>
    </w:p>
    <w:p>
      <w:r>
        <w:t>Интегративная таксономия: полевые сборы блох грызунов, морфологическое определение, COI и несколько дополнительных маркеров для филогенетической проверки.</w:t>
      </w:r>
    </w:p>
    <w:p>
      <w:pPr>
        <w:pStyle w:val="Heading3"/>
      </w:pPr>
      <w:r>
        <w:t>Что доказывает</w:t>
      </w:r>
    </w:p>
    <w:p>
      <w:r>
        <w:t>Источник доказывает, какой уровень данных нужен для нормальной ревизии блох: не одна таблица и не один маркер, а сочетание морфологии, нескольких молекулярных маркеров, хозяев и географии.</w:t>
      </w:r>
    </w:p>
    <w:p>
      <w:pPr>
        <w:pStyle w:val="Heading3"/>
      </w:pPr>
      <w:r>
        <w:t>Что не доказывает</w:t>
      </w:r>
    </w:p>
    <w:p>
      <w:r>
        <w:t>Источник не ревизует N. fasciatus и не дает глобальную классификацию Hystrichopsyllidae. Его региональная китайская выборка не может автоматически переноситься на все Siphonaptera.</w:t>
      </w:r>
    </w:p>
    <w:p>
      <w:pPr>
        <w:pStyle w:val="Heading3"/>
      </w:pPr>
      <w:r>
        <w:t>Ограничения</w:t>
      </w:r>
    </w:p>
    <w:p>
      <w:r>
        <w:t>Работа сильна как пример интегративного подхода, но она ограничена регионом, набором хозяев и составом выборки. Для Закавказья и Nosopsyllus нужны собственные данные.</w:t>
      </w:r>
    </w:p>
    <w:p>
      <w:pPr>
        <w:pStyle w:val="Heading3"/>
      </w:pPr>
      <w:r>
        <w:t>Вклад в отчет</w:t>
      </w:r>
    </w:p>
    <w:p>
      <w:r>
        <w:t>Карточка F08 формирует практический стандарт для будущего этапа: если пересматривать Nosopsyllus или Hystrichopsyllidae всерьез, нужна интегративная матрица, а не одиночные признаки.</w:t>
      </w:r>
    </w:p>
    <w:p>
      <w:pPr>
        <w:pStyle w:val="Heading3"/>
      </w:pPr>
      <w:r>
        <w:t>Основные тезисы</w:t>
      </w:r>
    </w:p>
    <w:p>
      <w:pPr>
        <w:pStyle w:val="ListBullet"/>
      </w:pPr>
      <w:r>
        <w:t>Исследованы 392 блохи от 8 видов грызунов из 10 уездов.</w:t>
      </w:r>
    </w:p>
    <w:p>
      <w:pPr>
        <w:pStyle w:val="ListBullet"/>
      </w:pPr>
      <w:r>
        <w:t>Морфологически выделены 10 видов, 9 родов и 5 семейств.</w:t>
      </w:r>
    </w:p>
    <w:p>
      <w:pPr>
        <w:pStyle w:val="ListBullet"/>
      </w:pPr>
      <w:r>
        <w:t>Использованы COI и пять маркеров: 18S rDNA, 28S rDNA, EF-1a, COI, COII.</w:t>
      </w:r>
    </w:p>
    <w:p>
      <w:pPr>
        <w:pStyle w:val="ListBullet"/>
      </w:pPr>
      <w:r>
        <w:t>Ctenophthalmidae оказались парафилетичными в выборке.</w:t>
      </w:r>
    </w:p>
    <w:p>
      <w:pPr>
        <w:pStyle w:val="ListBullet"/>
      </w:pPr>
      <w:r>
        <w:t>Источник задает стандарт интегративной ревизии: морфология плюс несколько молекулярных маркеров.</w:t>
      </w:r>
    </w:p>
    <w:p>
      <w:pPr>
        <w:pStyle w:val="Heading2"/>
      </w:pPr>
      <w:r>
        <w:t>F09. EPPO Global Database. Nosopsyllus fasciatus</w:t>
      </w:r>
    </w:p>
    <w:p>
      <w:r>
        <w:rPr>
          <w:b/>
        </w:rPr>
        <w:t>Nosopsyllus · читаемая таксономическая страница · справочная проверка</w:t>
      </w:r>
    </w:p>
    <w:p>
      <w:hyperlink r:id="rId56">
        <w:r>
          <w:rPr>
            <w:color w:val="245A52"/>
            <w:u w:val="single"/>
          </w:rPr>
          <w:t>ССЫЛКА</w:t>
        </w:r>
      </w:hyperlink>
      <w:r>
        <w:t xml:space="preserve"> · </w:t>
      </w:r>
      <w:hyperlink r:id="rId57">
        <w:r>
          <w:rPr>
            <w:color w:val="245A52"/>
            <w:u w:val="single"/>
          </w:rPr>
          <w:t>Читать сохраненный документ</w:t>
        </w:r>
      </w:hyperlink>
    </w:p>
    <w:p>
      <w:pPr>
        <w:pStyle w:val="Heading3"/>
      </w:pPr>
      <w:r>
        <w:t>Реферат</w:t>
      </w:r>
    </w:p>
    <w:p>
      <w:r>
        <w:t>EPPO Global Database по Nosopsyllus fasciatus нужна как короткая, но важная контрольная карточка. Она фиксирует цепочку Animalia - Arthropoda - Hexapoda - Insecta - Siphonaptera - Ceratophyllidae - Nosopsyllus - Nosopsyllus fasciatus и указывает синонимические комбинации Ceratophyllus fasciatus и Ctenopsyllus fasciatus. Для отчета это полезно, потому что читатель видит, где находится имя в современной справочной записи, и не путает базовое семейное положение с отдельной гипотезой. Но эта карточка намеренно не используется как главный научный аргумент. Она не содержит филогенетической матрицы, не сравнивает типовые серии, не решает N. barbarus и не проверяет монофилию рода. Поэтому F09 получает статус «справочная проверка». Ее вклад - удержать правильную навигационную точку для вида и показать, где заканчивается справка и начинается настоящая доказательная база: F01, F02 и F03.</w:t>
      </w:r>
    </w:p>
    <w:p>
      <w:pPr>
        <w:pStyle w:val="Heading3"/>
      </w:pPr>
      <w:r>
        <w:t>Метод и данные</w:t>
      </w:r>
    </w:p>
    <w:p>
      <w:r>
        <w:t>Справочная таксономическая проверка: используется сохраненная страница EPPO Global Database с цепочкой классификации и синонимами, без филогенетического анализа.</w:t>
      </w:r>
    </w:p>
    <w:p>
      <w:pPr>
        <w:pStyle w:val="Heading3"/>
      </w:pPr>
      <w:r>
        <w:t>Что доказывает</w:t>
      </w:r>
    </w:p>
    <w:p>
      <w:r>
        <w:t>Источник доказывает только справочный минимум: имя N. fasciatus ведется внутри Nosopsyllus и Ceratophyllidae, а в синонимах указаны старые комбинации. Это полезно для контроля текущей записи таксона.</w:t>
      </w:r>
    </w:p>
    <w:p>
      <w:pPr>
        <w:pStyle w:val="Heading3"/>
      </w:pPr>
      <w:r>
        <w:t>Что не доказывает</w:t>
      </w:r>
    </w:p>
    <w:p>
      <w:r>
        <w:t>Источник не доказывает монофилию Ceratophyllidae, не проверяет род Nosopsyllus молекулярно, не решает N. barbarus и не является ревизионной статьей.</w:t>
      </w:r>
    </w:p>
    <w:p>
      <w:pPr>
        <w:pStyle w:val="Heading3"/>
      </w:pPr>
      <w:r>
        <w:t>Ограничения</w:t>
      </w:r>
    </w:p>
    <w:p>
      <w:r>
        <w:t>Таксономическая база может быть хорошей навигационной точкой, но не заменяет первичные статьи. В отчете она специально помечена как справочная проверка, а не как основное доказательство.</w:t>
      </w:r>
    </w:p>
    <w:p>
      <w:pPr>
        <w:pStyle w:val="Heading3"/>
      </w:pPr>
      <w:r>
        <w:t>Вклад в отчет</w:t>
      </w:r>
    </w:p>
    <w:p>
      <w:r>
        <w:t>Карточка F09 отделяет справочную проверку от доказательства: она поддерживает навигацию по виду, но не заменяет молекулярные и обзорные источники.</w:t>
      </w:r>
    </w:p>
    <w:p>
      <w:pPr>
        <w:pStyle w:val="Heading3"/>
      </w:pPr>
      <w:r>
        <w:t>Основные тезисы</w:t>
      </w:r>
    </w:p>
    <w:p>
      <w:pPr>
        <w:pStyle w:val="ListBullet"/>
      </w:pPr>
      <w:r>
        <w:t>N. fasciatus помещен в цепочку Siphonaptera - Ceratophyllidae - Nosopsyllus.</w:t>
      </w:r>
    </w:p>
    <w:p>
      <w:pPr>
        <w:pStyle w:val="ListBullet"/>
      </w:pPr>
      <w:r>
        <w:t>В синонимах указаны Ceratophyllus fasciatus и Ctenopsyllus fasciatus.</w:t>
      </w:r>
    </w:p>
    <w:p>
      <w:pPr>
        <w:pStyle w:val="ListBullet"/>
      </w:pPr>
      <w:r>
        <w:t>Карточка полезна для проверки имени и семейного положения.</w:t>
      </w:r>
    </w:p>
    <w:p>
      <w:pPr>
        <w:pStyle w:val="ListBullet"/>
      </w:pPr>
      <w:r>
        <w:t>Источник не является филогенетической или номенклатурной ревизией.</w:t>
      </w:r>
    </w:p>
    <w:p>
      <w:pPr>
        <w:pStyle w:val="Heading2"/>
      </w:pPr>
      <w:r>
        <w:t>T01. Apanaskevich, Filippova &amp; Horak 2010. Redescription of H. scupense (= H. detritum)</w:t>
      </w:r>
    </w:p>
    <w:p>
      <w:r>
        <w:rPr>
          <w:b/>
        </w:rPr>
        <w:t>Hyalomma · полный PDF · основное доказательство</w:t>
      </w:r>
    </w:p>
    <w:p>
      <w:hyperlink r:id="rId58">
        <w:r>
          <w:rPr>
            <w:color w:val="245A52"/>
            <w:u w:val="single"/>
          </w:rPr>
          <w:t>ССЫЛКА</w:t>
        </w:r>
      </w:hyperlink>
      <w:r>
        <w:t xml:space="preserve"> · </w:t>
      </w:r>
      <w:hyperlink r:id="rId59">
        <w:r>
          <w:rPr>
            <w:color w:val="245A52"/>
            <w:u w:val="single"/>
          </w:rPr>
          <w:t>Читать сохраненный документ</w:t>
        </w:r>
      </w:hyperlink>
    </w:p>
    <w:p>
      <w:pPr>
        <w:pStyle w:val="Heading3"/>
      </w:pPr>
      <w:r>
        <w:t>Реферат</w:t>
      </w:r>
    </w:p>
    <w:p>
      <w:r>
        <w:t>Apanaskevich, Filippova &amp; Horak 2010 является центральным источником для всего блока Hyalomma. В статье прямо указано, что неопределенность между H. scupense и H. detritum существовала почти 85 лет. Старый критерий разделения был в основном экологическим: H. scupense трактовался как однохозяинный клещ, H. detritum - как двуххозяинный. При этом морфологически эти формы признаны идентичными. Именно поэтому источник важен для отчета: он не дает продолжать старую схему, где разные жизненные циклы автоматически превращаются в разные виды. Работа защищает приоритет имени H. scupense и синонимизирует H. detritum с H. scupense. Кроме того, H. scupense описан как одно- или двуххозяинный вид с широким ареалом от Западной Европы и Северной Африки до Восточного Китая, включая Армению, Азербайджан и Грузию. Для текущей задачи это задает правильную запись: Hyalomma scupense s.l., включая публикации, где старое имя H. detritum используется регионально. Но карточка также фиксирует ограничение: источник не доказывает две формы в Азербайджане, он только делает возможным обсуждение экологических форм внутри одного широкого таксона.</w:t>
      </w:r>
    </w:p>
    <w:p>
      <w:pPr>
        <w:pStyle w:val="Heading3"/>
      </w:pPr>
      <w:r>
        <w:t>Метод и данные</w:t>
      </w:r>
    </w:p>
    <w:p>
      <w:r>
        <w:t>Морфологическая и номенклатурная ревизия: переописание H. scupense, сопоставление с H. detritum и оценка старого экологического критерия разделения.</w:t>
      </w:r>
    </w:p>
    <w:p>
      <w:pPr>
        <w:pStyle w:val="Heading3"/>
      </w:pPr>
      <w:r>
        <w:t>Что доказывает</w:t>
      </w:r>
    </w:p>
    <w:p>
      <w:r>
        <w:t>Источник доказывает ключевую таксономическую позицию отчета: H. detritum не следует вести как уверенно отдельный вид, потому что он синонимизируется с H. scupense, а прежнее разделение держалось на жизненном цикле при морфологической идентичности.</w:t>
      </w:r>
    </w:p>
    <w:p>
      <w:pPr>
        <w:pStyle w:val="Heading3"/>
      </w:pPr>
      <w:r>
        <w:t>Что не доказывает</w:t>
      </w:r>
    </w:p>
    <w:p>
      <w:r>
        <w:t>Источник не доказывает две экологические формы в Азербайджане и не дает локальную закавказскую фенологию. Он решает таксономическую рамку, но не заменяет региональные полевые данные.</w:t>
      </w:r>
    </w:p>
    <w:p>
      <w:pPr>
        <w:pStyle w:val="Heading3"/>
      </w:pPr>
      <w:r>
        <w:t>Ограничения</w:t>
      </w:r>
    </w:p>
    <w:p>
      <w:r>
        <w:t>Сила источника в номенклатуре и морфологии, а не в локальной экологии. Для вывода о формах Закавказья нужны отдельные сборы, жизненный цикл, высотные пояса и молекулярная проверка популяций.</w:t>
      </w:r>
    </w:p>
    <w:p>
      <w:pPr>
        <w:pStyle w:val="Heading3"/>
      </w:pPr>
      <w:r>
        <w:t>Вклад в отчет</w:t>
      </w:r>
    </w:p>
    <w:p>
      <w:r>
        <w:t>Карточка T01 задает базовую таксономическую рамку всего отчета: обсуждаются формы H. scupense s.l., а не два уверенно самостоятельных вида H. scupense и H. detritum.</w:t>
      </w:r>
    </w:p>
    <w:p>
      <w:pPr>
        <w:pStyle w:val="Heading3"/>
      </w:pPr>
      <w:r>
        <w:t>Основные тезисы</w:t>
      </w:r>
    </w:p>
    <w:p>
      <w:pPr>
        <w:pStyle w:val="ListBullet"/>
      </w:pPr>
      <w:r>
        <w:t>Неопределенность между H. scupense и H. detritum длилась почти 85 лет.</w:t>
      </w:r>
    </w:p>
    <w:p>
      <w:pPr>
        <w:pStyle w:val="ListBullet"/>
      </w:pPr>
      <w:r>
        <w:t>Старый критерий разделения был экологическим: однохозяинный и двуххозяинный цикл.</w:t>
      </w:r>
    </w:p>
    <w:p>
      <w:pPr>
        <w:pStyle w:val="ListBullet"/>
      </w:pPr>
      <w:r>
        <w:t>Морфологически формы признаны идентичными.</w:t>
      </w:r>
    </w:p>
    <w:p>
      <w:pPr>
        <w:pStyle w:val="ListBullet"/>
      </w:pPr>
      <w:r>
        <w:t>H. detritum синонимизируется с H. scupense.</w:t>
      </w:r>
    </w:p>
    <w:p>
      <w:pPr>
        <w:pStyle w:val="ListBullet"/>
      </w:pPr>
      <w:r>
        <w:t>Ареал H. scupense s.l. включает Закавказье, но локальные формы требуют отдельных данных.</w:t>
      </w:r>
    </w:p>
    <w:p>
      <w:pPr>
        <w:pStyle w:val="Heading2"/>
      </w:pPr>
      <w:r>
        <w:t>T02. Филиппова 2003. Переисследование типовых серий H. scupense и H. detritum</w:t>
      </w:r>
    </w:p>
    <w:p>
      <w:r>
        <w:rPr>
          <w:b/>
        </w:rPr>
        <w:t>Hyalomma · полный PDF · основное доказательство</w:t>
      </w:r>
    </w:p>
    <w:p>
      <w:hyperlink r:id="rId60">
        <w:r>
          <w:rPr>
            <w:color w:val="245A52"/>
            <w:u w:val="single"/>
          </w:rPr>
          <w:t>ССЫЛКА</w:t>
        </w:r>
      </w:hyperlink>
      <w:r>
        <w:t xml:space="preserve"> · </w:t>
      </w:r>
      <w:hyperlink r:id="rId61">
        <w:r>
          <w:rPr>
            <w:color w:val="245A52"/>
            <w:u w:val="single"/>
          </w:rPr>
          <w:t>Читать сохраненный документ</w:t>
        </w:r>
      </w:hyperlink>
    </w:p>
    <w:p>
      <w:pPr>
        <w:pStyle w:val="Heading3"/>
      </w:pPr>
      <w:r>
        <w:t>Реферат</w:t>
      </w:r>
    </w:p>
    <w:p>
      <w:r>
        <w:t>Филиппова 2003 является русскоязычной опорой для таксономического блока Hyalomma. В работе переисследованы типовые серии H. scupense и H. detritum из Берлинского зоологического музея. Паратипы H. detritum признаны идентичными синтипам H. scupense, а H. detritum трактуется как синоним H. scupense. Для отчета это важно не только как подтверждение T01, но и как объяснение, почему старое имя продолжает встречаться в региональной литературе, хотя современная рабочая схема должна быть другой. Особенно важна мысль о жизненном цикле. Автор связывает микроэволюцию внутри полиморфного H. scupense с климатическими условиями и возможным формированием однохозяинного цикла на базе двуххозяинного. Это позволяет обсуждать однохозяинные и двуххозяинные линии как экологические формы внутри H. scupense s.l., а не как автоматическое доказательство разных видов. Карточка T02 поэтому соединяет номенклатуру и экологию: она не доказывает конкретные формы Азербайджана, но делает научно корректной саму постановку вопроса о формах внутри одного широкого таксона.</w:t>
      </w:r>
    </w:p>
    <w:p>
      <w:pPr>
        <w:pStyle w:val="Heading3"/>
      </w:pPr>
      <w:r>
        <w:t>Метод и данные</w:t>
      </w:r>
    </w:p>
    <w:p>
      <w:r>
        <w:t>Морфологическое переисследование типовых серий H. scupense и H. detritum с таксономическим выводом и обсуждением связи жизненного цикла с климатом.</w:t>
      </w:r>
    </w:p>
    <w:p>
      <w:pPr>
        <w:pStyle w:val="Heading3"/>
      </w:pPr>
      <w:r>
        <w:t>Что доказывает</w:t>
      </w:r>
    </w:p>
    <w:p>
      <w:r>
        <w:t>Источник поддерживает синонимию H. detritum с H. scupense на материале типовых серий и показывает, что различия жизненного цикла могут пониматься как микроэволюция внутри полиморфного вида.</w:t>
      </w:r>
    </w:p>
    <w:p>
      <w:pPr>
        <w:pStyle w:val="Heading3"/>
      </w:pPr>
      <w:r>
        <w:t>Что не доказывает</w:t>
      </w:r>
    </w:p>
    <w:p>
      <w:r>
        <w:t>Источник не дает современной молекулярной проверки, не описывает азербайджанские популяции и не доказывает две формы в Закавказье. Его сила - типовой материал и таксономическая логика.</w:t>
      </w:r>
    </w:p>
    <w:p>
      <w:pPr>
        <w:pStyle w:val="Heading3"/>
      </w:pPr>
      <w:r>
        <w:t>Ограничения</w:t>
      </w:r>
    </w:p>
    <w:p>
      <w:r>
        <w:t>Работа морфологическая и историко-таксономическая. Для современного регионального вывода ее нужно соединять с локальной фенологией, молекулярными маркерами и экологическими наблюдениями.</w:t>
      </w:r>
    </w:p>
    <w:p>
      <w:pPr>
        <w:pStyle w:val="Heading3"/>
      </w:pPr>
      <w:r>
        <w:t>Вклад в отчет</w:t>
      </w:r>
    </w:p>
    <w:p>
      <w:r>
        <w:t>Карточка T02 позволяет объяснить владельцу и читателю, почему старое имя H. detritum не выкидывается из истории, но переводится в синонимию H. scupense s.l.</w:t>
      </w:r>
    </w:p>
    <w:p>
      <w:pPr>
        <w:pStyle w:val="Heading3"/>
      </w:pPr>
      <w:r>
        <w:t>Основные тезисы</w:t>
      </w:r>
    </w:p>
    <w:p>
      <w:pPr>
        <w:pStyle w:val="ListBullet"/>
      </w:pPr>
      <w:r>
        <w:t>Переисследованы типовые серии H. scupense и H. detritum.</w:t>
      </w:r>
    </w:p>
    <w:p>
      <w:pPr>
        <w:pStyle w:val="ListBullet"/>
      </w:pPr>
      <w:r>
        <w:t>Паратипы H. detritum признаны идентичными синтипам H. scupense.</w:t>
      </w:r>
    </w:p>
    <w:p>
      <w:pPr>
        <w:pStyle w:val="ListBullet"/>
      </w:pPr>
      <w:r>
        <w:t>H. detritum трактуется как синоним H. scupense.</w:t>
      </w:r>
    </w:p>
    <w:p>
      <w:pPr>
        <w:pStyle w:val="ListBullet"/>
      </w:pPr>
      <w:r>
        <w:t>Различия жизненного цикла связаны с климатом и микроэволюцией внутри полиморфного вида.</w:t>
      </w:r>
    </w:p>
    <w:p>
      <w:pPr>
        <w:pStyle w:val="ListBullet"/>
      </w:pPr>
      <w:r>
        <w:t>Источник поддерживает обсуждение экологических форм внутри H. scupense s.l.</w:t>
      </w:r>
    </w:p>
    <w:p>
      <w:pPr>
        <w:pStyle w:val="Heading2"/>
      </w:pPr>
      <w:r>
        <w:t>T03. Gharbi &amp; Darghouth 2014. Review of H. scupense in the Maghreb</w:t>
      </w:r>
    </w:p>
    <w:p>
      <w:r>
        <w:rPr>
          <w:b/>
        </w:rPr>
        <w:t>Hyalomma · полный PDF · основное доказательство</w:t>
      </w:r>
    </w:p>
    <w:p>
      <w:hyperlink r:id="rId62">
        <w:r>
          <w:rPr>
            <w:color w:val="245A52"/>
            <w:u w:val="single"/>
          </w:rPr>
          <w:t>ССЫЛКА</w:t>
        </w:r>
      </w:hyperlink>
      <w:r>
        <w:t xml:space="preserve"> · </w:t>
      </w:r>
      <w:hyperlink r:id="rId63">
        <w:r>
          <w:rPr>
            <w:color w:val="245A52"/>
            <w:u w:val="single"/>
          </w:rPr>
          <w:t>Читать сохраненный документ</w:t>
        </w:r>
      </w:hyperlink>
    </w:p>
    <w:p>
      <w:pPr>
        <w:pStyle w:val="Heading3"/>
      </w:pPr>
      <w:r>
        <w:t>Реферат</w:t>
      </w:r>
    </w:p>
    <w:p>
      <w:r>
        <w:t>Gharbi &amp; Darghouth 2014 нужен как основной источник по южной двуххозяинной эндофильной форме H. scupense. В тексте H. scupense, синоним H. detritum, описан как двуххозяинный домашний эндофильный клещ крупного рогатого скота и других копытных в Магрибе. Имаго прикрепляются к животным летом, личинки и нимфы - осенью; при этом отмечаются региональные различия фенологии и перекрытие неполовозрелых стадий с имаго. Для текущего отчета источник важен как один из двух экологических полюсов. Он показывает скотоводческую, связанную с помещениями линию жизненного цикла, которую можно сравнивать с более холодоадаптированной или пастбищной логикой. Но карточка специально ограничивает вывод: наличие магрибской формы не доказывает ее наличие в Азербайджане. Она только показывает, что внутри H. scupense s.l. существует хорошо описанный двуххозяинный эндофильный вариант. Поэтому T03 работает вместе с T04 и T07: T03 дает южную сравнительную модель, T04 показывает пластичность вида, T07 фиксирует локальный минимум для Нахчывана.</w:t>
      </w:r>
    </w:p>
    <w:p>
      <w:pPr>
        <w:pStyle w:val="Heading3"/>
      </w:pPr>
      <w:r>
        <w:t>Метод и данные</w:t>
      </w:r>
    </w:p>
    <w:p>
      <w:r>
        <w:t>Обзор региональной экологии и жизненного цикла H. scupense в Магрибе: хозяева, сезонность стадий, эндофильность и связь со скотоводческой инфраструктурой.</w:t>
      </w:r>
    </w:p>
    <w:p>
      <w:pPr>
        <w:pStyle w:val="Heading3"/>
      </w:pPr>
      <w:r>
        <w:t>Что доказывает</w:t>
      </w:r>
    </w:p>
    <w:p>
      <w:r>
        <w:t>Источник доказывает существование хорошо описанного южного двуххозяинного эндофильного экологического полюса H. scupense, связанного с крупным рогатым скотом, помещениями и сезонностью имаго.</w:t>
      </w:r>
    </w:p>
    <w:p>
      <w:pPr>
        <w:pStyle w:val="Heading3"/>
      </w:pPr>
      <w:r>
        <w:t>Что не доказывает</w:t>
      </w:r>
    </w:p>
    <w:p>
      <w:r>
        <w:t>Источник не доказывает, что такая же форма есть в Азербайджане. Магрибская экология может использоваться как сравнительная рамка, но не как локальное закавказское доказательство.</w:t>
      </w:r>
    </w:p>
    <w:p>
      <w:pPr>
        <w:pStyle w:val="Heading3"/>
      </w:pPr>
      <w:r>
        <w:t>Ограничения</w:t>
      </w:r>
    </w:p>
    <w:p>
      <w:r>
        <w:t>Регион Магриба отличается климатом, хозяйством и скотоводческой инфраструктурой. Перенос на Закавказье допустим только в форме гипотезы и сравнительного полюса, а не готового вывода.</w:t>
      </w:r>
    </w:p>
    <w:p>
      <w:pPr>
        <w:pStyle w:val="Heading3"/>
      </w:pPr>
      <w:r>
        <w:t>Вклад в отчет</w:t>
      </w:r>
    </w:p>
    <w:p>
      <w:r>
        <w:t>Карточка T03 дает отчету модель южной двуххозяинной формы, которую можно сравнивать с локальным Нахчываном и с общей пластичностью жизненного цикла.</w:t>
      </w:r>
    </w:p>
    <w:p>
      <w:pPr>
        <w:pStyle w:val="Heading3"/>
      </w:pPr>
      <w:r>
        <w:t>Основные тезисы</w:t>
      </w:r>
    </w:p>
    <w:p>
      <w:pPr>
        <w:pStyle w:val="ListBullet"/>
      </w:pPr>
      <w:r>
        <w:t>В Магрибе H. scupense описан как двуххозяинный домашний эндофильный клещ.</w:t>
      </w:r>
    </w:p>
    <w:p>
      <w:pPr>
        <w:pStyle w:val="ListBullet"/>
      </w:pPr>
      <w:r>
        <w:t>Основные хозяева в описании - крупный рогатый скот и другие копытные.</w:t>
      </w:r>
    </w:p>
    <w:p>
      <w:pPr>
        <w:pStyle w:val="ListBullet"/>
      </w:pPr>
      <w:r>
        <w:t>Имаго прикрепляются летом, личинки и нимфы появляются осенью.</w:t>
      </w:r>
    </w:p>
    <w:p>
      <w:pPr>
        <w:pStyle w:val="ListBullet"/>
      </w:pPr>
      <w:r>
        <w:t>Клещ связан с помещениями и скотоводческой инфраструктурой.</w:t>
      </w:r>
    </w:p>
    <w:p>
      <w:pPr>
        <w:pStyle w:val="ListBullet"/>
      </w:pPr>
      <w:r>
        <w:t>Магрибский материал является сравнительным полюсом, а не доказательством формы Азербайджана.</w:t>
      </w:r>
    </w:p>
    <w:p>
      <w:pPr>
        <w:pStyle w:val="Heading2"/>
      </w:pPr>
      <w:r>
        <w:t>T04. Elati et al. 2024. In vitro feeding of Hyalomma scupense and related species</w:t>
      </w:r>
    </w:p>
    <w:p>
      <w:r>
        <w:rPr>
          <w:b/>
        </w:rPr>
        <w:t>Hyalomma · полный PDF · основное доказательство</w:t>
      </w:r>
    </w:p>
    <w:p>
      <w:hyperlink r:id="rId64">
        <w:r>
          <w:rPr>
            <w:color w:val="245A52"/>
            <w:u w:val="single"/>
          </w:rPr>
          <w:t>ССЫЛКА</w:t>
        </w:r>
      </w:hyperlink>
      <w:r>
        <w:t xml:space="preserve"> · </w:t>
      </w:r>
      <w:hyperlink r:id="rId65">
        <w:r>
          <w:rPr>
            <w:color w:val="245A52"/>
            <w:u w:val="single"/>
          </w:rPr>
          <w:t>Читать сохраненный документ</w:t>
        </w:r>
      </w:hyperlink>
    </w:p>
    <w:p>
      <w:pPr>
        <w:pStyle w:val="Heading3"/>
      </w:pPr>
      <w:r>
        <w:t>Реферат</w:t>
      </w:r>
    </w:p>
    <w:p>
      <w:r>
        <w:t>Elati et al. 2024 является главным источником для вывода о пластичности H. scupense. В статье указано, что в Тунисе H. scupense ведет себя как двуххозяинный вид с летним пиком имаго на крупном рогатом скоте. Одновременно авторы обсуждают, что в других регионах известен холодоадаптированный однохозяинный экотип, а материал из Китая сообщался как способный проходить одно- и двуххозяинный цикл. Эта комбинация делает источник особенно важным: он показывает, что жизненный цикл не должен использоваться как простой видовой диагноз. Статья также содержит экспериментальные данные in vitro: для самок H. scupense указаны 84 процента прикрепления и 76 процентов насыщения, для личинок - 92,6 процента прикрепления и 55,7 процента насыщения. Для текущего отчета эти числа не превращаются в локальный закавказский вывод, но показывают, что биология вида изучается экспериментально и может сравниваться между регионами. Карточка T04 соединяет таксономический блок T01/T02 с экологическим блоком T03/T07: две формы для Закавказья являются рабочей гипотезой, а не доказанным фактом.</w:t>
      </w:r>
    </w:p>
    <w:p>
      <w:pPr>
        <w:pStyle w:val="Heading3"/>
      </w:pPr>
      <w:r>
        <w:t>Метод и данные</w:t>
      </w:r>
    </w:p>
    <w:p>
      <w:r>
        <w:t>Экология и экспериментальная биология жизненного цикла: обзор региональных вариантов H. scupense и данные in vitro кормления для разных стадий.</w:t>
      </w:r>
    </w:p>
    <w:p>
      <w:pPr>
        <w:pStyle w:val="Heading3"/>
      </w:pPr>
      <w:r>
        <w:t>Что доказывает</w:t>
      </w:r>
    </w:p>
    <w:p>
      <w:r>
        <w:t>Источник доказывает пластичность жизненного цикла H. scupense: в Тунисе вид ведет себя как двуххозяинный, в других регионах известен холодоадаптированный однохозяинный экотип, а китайский материал описывался как способный к одному и двум хозяевам.</w:t>
      </w:r>
    </w:p>
    <w:p>
      <w:pPr>
        <w:pStyle w:val="Heading3"/>
      </w:pPr>
      <w:r>
        <w:t>Что не доказывает</w:t>
      </w:r>
    </w:p>
    <w:p>
      <w:r>
        <w:t>Источник не доказывает две формы в Азербайджане. Он делает такую гипотезу биологически разумной, но требует проверки локальными сборами, фенологией и молекулярными данными.</w:t>
      </w:r>
    </w:p>
    <w:p>
      <w:pPr>
        <w:pStyle w:val="Heading3"/>
      </w:pPr>
      <w:r>
        <w:t>Ограничения</w:t>
      </w:r>
    </w:p>
    <w:p>
      <w:r>
        <w:t>Часть региональных сопоставлений дана как обзорная рамка, а эксперимент in vitro не заменяет полевые наблюдения. Для Закавказья нужны собственные серии по высотам, сезонам и хозяевам.</w:t>
      </w:r>
    </w:p>
    <w:p>
      <w:pPr>
        <w:pStyle w:val="Heading3"/>
      </w:pPr>
      <w:r>
        <w:t>Вклад в отчет</w:t>
      </w:r>
    </w:p>
    <w:p>
      <w:r>
        <w:t>Карточка T04 является мостом между таксономией и экологией: она позволяет формулировать гипотезу о двух формах Закавказья осторожно и проверяемо.</w:t>
      </w:r>
    </w:p>
    <w:p>
      <w:pPr>
        <w:pStyle w:val="Heading3"/>
      </w:pPr>
      <w:r>
        <w:t>Основные тезисы</w:t>
      </w:r>
    </w:p>
    <w:p>
      <w:pPr>
        <w:pStyle w:val="ListBullet"/>
      </w:pPr>
      <w:r>
        <w:t>В Тунисе H. scupense ведет себя как двуххозяинный вид с летним пиком имаго.</w:t>
      </w:r>
    </w:p>
    <w:p>
      <w:pPr>
        <w:pStyle w:val="ListBullet"/>
      </w:pPr>
      <w:r>
        <w:t>В других регионах описан холодоадаптированный однохозяинный экотип.</w:t>
      </w:r>
    </w:p>
    <w:p>
      <w:pPr>
        <w:pStyle w:val="ListBullet"/>
      </w:pPr>
      <w:r>
        <w:t>Китайский материал сообщался как способный к одному и двум хозяевам.</w:t>
      </w:r>
    </w:p>
    <w:p>
      <w:pPr>
        <w:pStyle w:val="ListBullet"/>
      </w:pPr>
      <w:r>
        <w:t>In vitro для самок указаны 84 процента прикрепления и 76 процентов насыщения.</w:t>
      </w:r>
    </w:p>
    <w:p>
      <w:pPr>
        <w:pStyle w:val="ListBullet"/>
      </w:pPr>
      <w:r>
        <w:t>Источник поддерживает гипотезу пластичности, но не доказывает две формы в Азербайджане.</w:t>
      </w:r>
    </w:p>
    <w:p>
      <w:pPr>
        <w:pStyle w:val="Heading2"/>
      </w:pPr>
      <w:r>
        <w:t>T05. Grech-Angelini et al. 2016. First report of H. scupense on Corsica</w:t>
      </w:r>
    </w:p>
    <w:p>
      <w:r>
        <w:rPr>
          <w:b/>
        </w:rPr>
        <w:t>Hyalomma · полный PDF · дополнительное доказательство</w:t>
      </w:r>
    </w:p>
    <w:p>
      <w:hyperlink r:id="rId66">
        <w:r>
          <w:rPr>
            <w:color w:val="245A52"/>
            <w:u w:val="single"/>
          </w:rPr>
          <w:t>ССЫЛКА</w:t>
        </w:r>
      </w:hyperlink>
      <w:r>
        <w:t xml:space="preserve"> · </w:t>
      </w:r>
      <w:hyperlink r:id="rId67">
        <w:r>
          <w:rPr>
            <w:color w:val="245A52"/>
            <w:u w:val="single"/>
          </w:rPr>
          <w:t>Читать сохраненный документ</w:t>
        </w:r>
      </w:hyperlink>
    </w:p>
    <w:p>
      <w:pPr>
        <w:pStyle w:val="Heading3"/>
      </w:pPr>
      <w:r>
        <w:t>Реферат</w:t>
      </w:r>
    </w:p>
    <w:p>
      <w:r>
        <w:t>Grech-Angelini et al. 2016 важен как сравнительный источник, где H. scupense рассматривается не только по названию, но и через материал региональной популяции. За год на корсиканских бойнях собрано 1938 клещей с крупного рогатого скота; 168 экземпляров морфологически определены как H. scupense и подтверждены COI и ITS2. Наличие взрослых и нимф из разных районов острова указывает на закрепившуюся популяцию. Для отчета источник полезен по двум причинам. Во-первых, он независимо повторяет современное решение: H. scupense - валидное имя, H. detritum - синоним. Это усиливает T01 и T02, показывая, что синонимия используется не только в ревизионных работах, но и в региональных исследованиях. Во-вторых, он дает пример того, как региональная популяция должна подтверждаться: морфология плюс молекулярные маркеры, а не одна полевая запись. Ограничение принципиальное: Корсика не доказывает формы Азербайджана, но показывает уровень проверки, который нужен для будущего закавказского материала.</w:t>
      </w:r>
    </w:p>
    <w:p>
      <w:pPr>
        <w:pStyle w:val="Heading3"/>
      </w:pPr>
      <w:r>
        <w:t>Метод и данные</w:t>
      </w:r>
    </w:p>
    <w:p>
      <w:r>
        <w:t>Региональное наблюдение с морфологической идентификацией и молекулярным подтверждением COI/IT материал по H. scupense на Корсике.</w:t>
      </w:r>
    </w:p>
    <w:p>
      <w:pPr>
        <w:pStyle w:val="Heading3"/>
      </w:pPr>
      <w:r>
        <w:t>Что доказывает</w:t>
      </w:r>
    </w:p>
    <w:p>
      <w:r>
        <w:t>Источник подтверждает современное употребление H. scupense с H. detritum в синонимии и показывает пример закрепленной региональной популяции, определенной морфологически и молекулярно.</w:t>
      </w:r>
    </w:p>
    <w:p>
      <w:pPr>
        <w:pStyle w:val="Heading3"/>
      </w:pPr>
      <w:r>
        <w:t>Что не доказывает</w:t>
      </w:r>
    </w:p>
    <w:p>
      <w:r>
        <w:t>Источник не доказывает экологические формы Азербайджана и не описывает весь ареал H. scupense. Корсика используется как сравнительный регион, а не как прямой аналог Закавказья.</w:t>
      </w:r>
    </w:p>
    <w:p>
      <w:pPr>
        <w:pStyle w:val="Heading3"/>
      </w:pPr>
      <w:r>
        <w:t>Ограничения</w:t>
      </w:r>
    </w:p>
    <w:p>
      <w:r>
        <w:t>Вывод ограничен островным регионом и конкретной схемой сбора на бойнях. Для закавказского вывода нужны свои пастбища, высоты, сезоны и хозяева.</w:t>
      </w:r>
    </w:p>
    <w:p>
      <w:pPr>
        <w:pStyle w:val="Heading3"/>
      </w:pPr>
      <w:r>
        <w:t>Вклад в отчет</w:t>
      </w:r>
    </w:p>
    <w:p>
      <w:r>
        <w:t>Карточка T05 показывает, каким должен быть региональный уровень доказательства: морфологическое определение, молекулярная проверка и связь с хозяевами.</w:t>
      </w:r>
    </w:p>
    <w:p>
      <w:pPr>
        <w:pStyle w:val="Heading3"/>
      </w:pPr>
      <w:r>
        <w:t>Основные тезисы</w:t>
      </w:r>
    </w:p>
    <w:p>
      <w:pPr>
        <w:pStyle w:val="ListBullet"/>
      </w:pPr>
      <w:r>
        <w:t>На корсиканских бойнях собрано 1938 клещей с крупного рогатого скота.</w:t>
      </w:r>
    </w:p>
    <w:p>
      <w:pPr>
        <w:pStyle w:val="ListBullet"/>
      </w:pPr>
      <w:r>
        <w:t>168 экземпляров определены как H. scupense.</w:t>
      </w:r>
    </w:p>
    <w:p>
      <w:pPr>
        <w:pStyle w:val="ListBullet"/>
      </w:pPr>
      <w:r>
        <w:t>Определение подтверждено маркерами COI и ITS2.</w:t>
      </w:r>
    </w:p>
    <w:p>
      <w:pPr>
        <w:pStyle w:val="ListBullet"/>
      </w:pPr>
      <w:r>
        <w:t>Наличие взрослых и нимф из разных районов указывает на закрепленную популяцию.</w:t>
      </w:r>
    </w:p>
    <w:p>
      <w:pPr>
        <w:pStyle w:val="ListBullet"/>
      </w:pPr>
      <w:r>
        <w:t>Источник повторяет современную синонимию H. detritum с H. scupense.</w:t>
      </w:r>
    </w:p>
    <w:p>
      <w:pPr>
        <w:pStyle w:val="Heading2"/>
      </w:pPr>
      <w:r>
        <w:t>T06. Awulibieer et al. 2026. Genetic diversity of H. scupense in Kazakhstan</w:t>
      </w:r>
    </w:p>
    <w:p>
      <w:r>
        <w:rPr>
          <w:b/>
        </w:rPr>
        <w:t>Hyalomma · полный HTML · дополнительное доказательство</w:t>
      </w:r>
    </w:p>
    <w:p>
      <w:hyperlink r:id="rId68">
        <w:r>
          <w:rPr>
            <w:color w:val="245A52"/>
            <w:u w:val="single"/>
          </w:rPr>
          <w:t>ССЫЛКА</w:t>
        </w:r>
      </w:hyperlink>
      <w:r>
        <w:t xml:space="preserve"> · </w:t>
      </w:r>
      <w:hyperlink r:id="rId69">
        <w:r>
          <w:rPr>
            <w:color w:val="245A52"/>
            <w:u w:val="single"/>
          </w:rPr>
          <w:t>Читать сохраненный документ</w:t>
        </w:r>
      </w:hyperlink>
    </w:p>
    <w:p>
      <w:pPr>
        <w:pStyle w:val="Heading3"/>
      </w:pPr>
      <w:r>
        <w:t>Реферат</w:t>
      </w:r>
    </w:p>
    <w:p>
      <w:r>
        <w:t>Awulibieer et al. 2026 добавляет к исследованию восточную часть ареала H. scupense. В статье собран очень крупный материал: 19861 нимфальный и взрослый клещ из 41 точки, 22 районов и 8 областей Казахстана. В выборке определены 13 видов клещей, причем H. scupense оказался наиболее распространенным и многочисленным видом. Для H. scupense указаны десять COI-гаплотипов; один восточно-казахстанский гаплотип рассматривается как предковый для Синьцзяна. Для текущего отчета T06 не является главным доказательством по Азербайджану, но он важен как восточный контекст. Он показывает, что H. scupense s.l. не является узкой локальной проблемой и что внутри вида есть региональное генетическое разнообразие. Это поддерживает осторожную рамку: экологические формы и региональные линии возможны, но должны доказываться локально. Карточка поэтому соединяет T01/T04 с T07: таксономически вид широк, биологически пластичен, но конкретный вывод по Нахчывану строится только на локальном источнике T07. Вклад T06 именно сравнительный: он расширяет карту ареала и не подменяет местную полевую проверку.</w:t>
      </w:r>
    </w:p>
    <w:p>
      <w:pPr>
        <w:pStyle w:val="Heading3"/>
      </w:pPr>
      <w:r>
        <w:t>Метод и данные</w:t>
      </w:r>
    </w:p>
    <w:p>
      <w:r>
        <w:t>Региональные сборы и COI-разнообразие: массовый материал из Казахстана, видовой состав клещей и гаплотипы H. scupense.</w:t>
      </w:r>
    </w:p>
    <w:p>
      <w:pPr>
        <w:pStyle w:val="Heading3"/>
      </w:pPr>
      <w:r>
        <w:t>Что доказывает</w:t>
      </w:r>
    </w:p>
    <w:p>
      <w:r>
        <w:t>Источник показывает восточный контекст H. scupense: вид широко представлен в Казахстане, многочисленен в выборке и имеет COI-разнообразие. Это поддерживает идею географической неоднородности вида.</w:t>
      </w:r>
    </w:p>
    <w:p>
      <w:pPr>
        <w:pStyle w:val="Heading3"/>
      </w:pPr>
      <w:r>
        <w:t>Что не доказывает</w:t>
      </w:r>
    </w:p>
    <w:p>
      <w:r>
        <w:t>Источник не доказывает жизненные циклы или экологические формы Азербайджана и не описывает Нахчыван. Его нельзя использовать как прямой локальный вывод по Закавказью.</w:t>
      </w:r>
    </w:p>
    <w:p>
      <w:pPr>
        <w:pStyle w:val="Heading3"/>
      </w:pPr>
      <w:r>
        <w:t>Ограничения</w:t>
      </w:r>
    </w:p>
    <w:p>
      <w:r>
        <w:t>Казахстанская выборка важна для восточного ареала, но другой регион, другие условия и другой дизайн работы ограничивают перенос на Азербайджан.</w:t>
      </w:r>
    </w:p>
    <w:p>
      <w:pPr>
        <w:pStyle w:val="Heading3"/>
      </w:pPr>
      <w:r>
        <w:t>Вклад в отчет</w:t>
      </w:r>
    </w:p>
    <w:p>
      <w:r>
        <w:t>Карточка T06 добавляет географический масштаб и генетический контекст, но не подменяет локальную доказательную базу Азербайджана.</w:t>
      </w:r>
    </w:p>
    <w:p>
      <w:pPr>
        <w:pStyle w:val="Heading3"/>
      </w:pPr>
      <w:r>
        <w:t>Основные тезисы</w:t>
      </w:r>
    </w:p>
    <w:p>
      <w:pPr>
        <w:pStyle w:val="ListBullet"/>
      </w:pPr>
      <w:r>
        <w:t>Собрано 19861 нимфальный и взрослый клещ.</w:t>
      </w:r>
    </w:p>
    <w:p>
      <w:pPr>
        <w:pStyle w:val="ListBullet"/>
      </w:pPr>
      <w:r>
        <w:t>Материал происходит из 41 точки, 22 районов и 8 областей Казахстана.</w:t>
      </w:r>
    </w:p>
    <w:p>
      <w:pPr>
        <w:pStyle w:val="ListBullet"/>
      </w:pPr>
      <w:r>
        <w:t>В выборке определены 13 видов клещей.</w:t>
      </w:r>
    </w:p>
    <w:p>
      <w:pPr>
        <w:pStyle w:val="ListBullet"/>
      </w:pPr>
      <w:r>
        <w:t>H. scupense оказался наиболее распространенным и многочисленным видом.</w:t>
      </w:r>
    </w:p>
    <w:p>
      <w:pPr>
        <w:pStyle w:val="ListBullet"/>
      </w:pPr>
      <w:r>
        <w:t>Для H. scupense указаны десять COI-гаплотипов.</w:t>
      </w:r>
    </w:p>
    <w:p>
      <w:pPr>
        <w:pStyle w:val="Heading2"/>
      </w:pPr>
      <w:r>
        <w:t>T07. Seyidov &amp; Seyidli 2026. Age composition of H. detritum in Nakhchivan</w:t>
      </w:r>
    </w:p>
    <w:p>
      <w:r>
        <w:rPr>
          <w:b/>
        </w:rPr>
        <w:t>Азербайджан/Закавказье · полный HTML · основное доказательство</w:t>
      </w:r>
    </w:p>
    <w:p>
      <w:hyperlink r:id="rId70">
        <w:r>
          <w:rPr>
            <w:color w:val="245A52"/>
            <w:u w:val="single"/>
          </w:rPr>
          <w:t>ССЫЛКА</w:t>
        </w:r>
      </w:hyperlink>
      <w:r>
        <w:t xml:space="preserve"> · </w:t>
      </w:r>
      <w:hyperlink r:id="rId71">
        <w:r>
          <w:rPr>
            <w:color w:val="245A52"/>
            <w:u w:val="single"/>
          </w:rPr>
          <w:t>Читать сохраненный документ</w:t>
        </w:r>
      </w:hyperlink>
    </w:p>
    <w:p>
      <w:pPr>
        <w:pStyle w:val="Heading3"/>
      </w:pPr>
      <w:r>
        <w:t>Реферат</w:t>
      </w:r>
    </w:p>
    <w:p>
      <w:r>
        <w:t>Seyidov &amp; Seyidli 2026 является ключевым локальным источником по Азербайджану в текущей доказательной базе. В Нахчыванской Автономной Республике имаго H. detritum имеют один выраженный пик активности: взрослые клещи присутствуют в низинных и предгорных районах с первой декады мая до конца августа, в сентябре исчезают, а личинки и нимфы появляются к концу августа и в сентябре. Исследованные пастбища расположены примерно на 600-1600 м над уровнем моря. Так как T01 и T02 переводят H. detritum в синонимию H. scupense, этот локальный источник в отчете читается как материал по H. scupense s.l. Его вклад очень важен, но он ограничен: он доказывает минимум одну местную сезонно-пастбищную форму, а не две формы. Возможные хозяева включают крупный рогатый скот, лошадей, овец, коз, ослов, собак, кошек, зайцев, песчанок, сусликов, мелких грызунов и змей, но источник не закрывает вопрос числа хозяев в цикле. Поэтому карточка T07 является границей честности для всего отчета по Закавказью: локально доказан один фенологический вариант; гипотеза о двух формах требует отдельной проверки.</w:t>
      </w:r>
    </w:p>
    <w:p>
      <w:pPr>
        <w:pStyle w:val="Heading3"/>
      </w:pPr>
      <w:r>
        <w:t>Метод и данные</w:t>
      </w:r>
    </w:p>
    <w:p>
      <w:r>
        <w:t>Локальные региональные наблюдения по Нахчывану: сезонная возрастная структура популяции, высотный пояс пастбищ и список возможных хозяев.</w:t>
      </w:r>
    </w:p>
    <w:p>
      <w:pPr>
        <w:pStyle w:val="Heading3"/>
      </w:pPr>
      <w:r>
        <w:t>Что доказывает</w:t>
      </w:r>
    </w:p>
    <w:p>
      <w:r>
        <w:t>Источник доказывает минимум одну локальную сезонно-пастбищную форму H. scupense s.l. в Нахчыване: имаго имеют один пик активности, взрослые исчезают в сентябре, а личинки и нимфы появляются к концу августа и в сентябре.</w:t>
      </w:r>
    </w:p>
    <w:p>
      <w:pPr>
        <w:pStyle w:val="Heading3"/>
      </w:pPr>
      <w:r>
        <w:t>Что не доказывает</w:t>
      </w:r>
    </w:p>
    <w:p>
      <w:r>
        <w:t>Источник не доказывает две формы в Азербайджане, не проверяет число хозяев в жизненном цикле напрямую и использует старое имя H. detritum без полной современной ревизии.</w:t>
      </w:r>
    </w:p>
    <w:p>
      <w:pPr>
        <w:pStyle w:val="Heading3"/>
      </w:pPr>
      <w:r>
        <w:t>Ограничения</w:t>
      </w:r>
    </w:p>
    <w:p>
      <w:r>
        <w:t>Это единственный локальный источник в текущей базе, поэтому он задает не максимум, а минимум доказанного. Для вывода о двух формах нужны дополнительные районы, высотные пояса, сезонные серии, морфология и молекулярные маркеры.</w:t>
      </w:r>
    </w:p>
    <w:p>
      <w:pPr>
        <w:pStyle w:val="Heading3"/>
      </w:pPr>
      <w:r>
        <w:t>Вклад в отчет</w:t>
      </w:r>
    </w:p>
    <w:p>
      <w:r>
        <w:t>Карточка T07 ставит нижнюю границу доказанного по Азербайджану: одна локальная сезонная форма подтверждена, вторая остается рабочей гипотезой.</w:t>
      </w:r>
    </w:p>
    <w:p>
      <w:pPr>
        <w:pStyle w:val="Heading3"/>
      </w:pPr>
      <w:r>
        <w:t>Основные тезисы</w:t>
      </w:r>
    </w:p>
    <w:p>
      <w:pPr>
        <w:pStyle w:val="ListBullet"/>
      </w:pPr>
      <w:r>
        <w:t>В Нахчыване имаго имеют один выраженный пик активности.</w:t>
      </w:r>
    </w:p>
    <w:p>
      <w:pPr>
        <w:pStyle w:val="ListBullet"/>
      </w:pPr>
      <w:r>
        <w:t>Пик длится с первой декады мая до конца августа.</w:t>
      </w:r>
    </w:p>
    <w:p>
      <w:pPr>
        <w:pStyle w:val="ListBullet"/>
      </w:pPr>
      <w:r>
        <w:t>В сентябре взрослые исчезают, а личинки и нимфы появляются к концу августа и в сентябре.</w:t>
      </w:r>
    </w:p>
    <w:p>
      <w:pPr>
        <w:pStyle w:val="ListBullet"/>
      </w:pPr>
      <w:r>
        <w:t>Исследованные пастбища расположены примерно на 600-1600 м.</w:t>
      </w:r>
    </w:p>
    <w:p>
      <w:pPr>
        <w:pStyle w:val="ListBullet"/>
      </w:pPr>
      <w:r>
        <w:t>Источник доказывает локальный минимум, но не две формы в Азербайджане.</w:t>
      </w:r>
    </w:p>
    <w:sectPr w:rsidR="00FC693F" w:rsidRPr="0006063C" w:rsidSect="00034616">
      <w:pgSz w:w="12240" w:h="15840"/>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120" w:line="300" w:lineRule="auto"/>
    </w:pPr>
    <w:rPr>
      <w:rFonts w:ascii="Calibri" w:hAnsi="Calibri"/>
      <w:sz w:val="2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360" w:after="200"/>
      <w:outlineLvl w:val="0"/>
    </w:pPr>
    <w:rPr>
      <w:rFonts w:asciiTheme="majorHAnsi" w:eastAsiaTheme="majorEastAsia" w:hAnsiTheme="majorHAnsi" w:cstheme="majorBidi" w:ascii="Calibri" w:hAnsi="Calibri"/>
      <w:b/>
      <w:bCs/>
      <w:color w:val="2E74B5"/>
      <w:sz w:val="32"/>
      <w:szCs w:val="28"/>
    </w:rPr>
  </w:style>
  <w:style w:type="paragraph" w:styleId="Heading2">
    <w:name w:val="heading 2"/>
    <w:basedOn w:val="Normal"/>
    <w:next w:val="Normal"/>
    <w:link w:val="Heading2Char"/>
    <w:uiPriority w:val="9"/>
    <w:unhideWhenUsed/>
    <w:qFormat/>
    <w:rsid w:val="00FC693F"/>
    <w:pPr>
      <w:keepNext/>
      <w:keepLines/>
      <w:spacing w:before="280" w:after="140"/>
      <w:outlineLvl w:val="1"/>
    </w:pPr>
    <w:rPr>
      <w:rFonts w:asciiTheme="majorHAnsi" w:eastAsiaTheme="majorEastAsia" w:hAnsiTheme="majorHAnsi" w:cstheme="majorBidi" w:ascii="Calibri" w:hAnsi="Calibri"/>
      <w:b/>
      <w:bCs/>
      <w:color w:val="2E74B5"/>
      <w:sz w:val="26"/>
      <w:szCs w:val="26"/>
    </w:rPr>
  </w:style>
  <w:style w:type="paragraph" w:styleId="Heading3">
    <w:name w:val="heading 3"/>
    <w:basedOn w:val="Normal"/>
    <w:next w:val="Normal"/>
    <w:link w:val="Heading3Char"/>
    <w:uiPriority w:val="9"/>
    <w:unhideWhenUsed/>
    <w:qFormat/>
    <w:rsid w:val="00FC693F"/>
    <w:pPr>
      <w:keepNext/>
      <w:keepLines/>
      <w:spacing w:before="200" w:after="100"/>
      <w:outlineLvl w:val="2"/>
    </w:pPr>
    <w:rPr>
      <w:rFonts w:asciiTheme="majorHAnsi" w:eastAsiaTheme="majorEastAsia" w:hAnsiTheme="majorHAnsi" w:cstheme="majorBidi" w:ascii="Calibri" w:hAnsi="Calibri"/>
      <w:b/>
      <w:bCs/>
      <w:color w:val="1F4D78"/>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yperlink" Target="verified_research_registry.html" TargetMode="External"/><Relationship Id="rId10" Type="http://schemas.openxmlformats.org/officeDocument/2006/relationships/hyperlink" Target="verified_research_report.pdf" TargetMode="External"/><Relationship Id="rId11" Type="http://schemas.openxmlformats.org/officeDocument/2006/relationships/hyperlink" Target="verified_research_report.docx" TargetMode="External"/><Relationship Id="rId12" Type="http://schemas.openxmlformats.org/officeDocument/2006/relationships/hyperlink" Target="verified_sources_registry.xlsx" TargetMode="External"/><Relationship Id="rId13" Type="http://schemas.openxmlformats.org/officeDocument/2006/relationships/hyperlink" Target="assets/research_package_hero_1k.png" TargetMode="External"/><Relationship Id="rId14" Type="http://schemas.openxmlformats.org/officeDocument/2006/relationships/hyperlink" Target="assets/specimen_comparison_plate_1k.png" TargetMode="External"/><Relationship Id="rId15" Type="http://schemas.openxmlformats.org/officeDocument/2006/relationships/hyperlink" Target="assets/hyalomma_life_cycle_arrows_1k.png" TargetMode="External"/><Relationship Id="rId16" Type="http://schemas.openxmlformats.org/officeDocument/2006/relationships/hyperlink" Target="assets/caucasus_field_ecology_1k.png" TargetMode="External"/><Relationship Id="rId17" Type="http://schemas.openxmlformats.org/officeDocument/2006/relationships/image" Target="media/image1.png"/><Relationship Id="rId18" Type="http://schemas.openxmlformats.org/officeDocument/2006/relationships/image" Target="media/image2.png"/><Relationship Id="rId19" Type="http://schemas.openxmlformats.org/officeDocument/2006/relationships/image" Target="media/image3.png"/><Relationship Id="rId20" Type="http://schemas.openxmlformats.org/officeDocument/2006/relationships/image" Target="media/image4.png"/><Relationship Id="rId21" Type="http://schemas.openxmlformats.org/officeDocument/2006/relationships/hyperlink" Target="verified_research_registry.html#reader:F01" TargetMode="External"/><Relationship Id="rId22" Type="http://schemas.openxmlformats.org/officeDocument/2006/relationships/hyperlink" Target="verified_research_registry.html#reader:F02" TargetMode="External"/><Relationship Id="rId23" Type="http://schemas.openxmlformats.org/officeDocument/2006/relationships/hyperlink" Target="verified_research_registry.html#reader:F05" TargetMode="External"/><Relationship Id="rId24" Type="http://schemas.openxmlformats.org/officeDocument/2006/relationships/hyperlink" Target="verified_research_registry.html#reader:F06" TargetMode="External"/><Relationship Id="rId25" Type="http://schemas.openxmlformats.org/officeDocument/2006/relationships/hyperlink" Target="verified_research_registry.html#reader:F07" TargetMode="External"/><Relationship Id="rId26" Type="http://schemas.openxmlformats.org/officeDocument/2006/relationships/hyperlink" Target="verified_research_registry.html#reader:F08" TargetMode="External"/><Relationship Id="rId27" Type="http://schemas.openxmlformats.org/officeDocument/2006/relationships/hyperlink" Target="verified_research_registry.html#reader:F09" TargetMode="External"/><Relationship Id="rId28" Type="http://schemas.openxmlformats.org/officeDocument/2006/relationships/hyperlink" Target="verified_research_registry.html#reader:T01" TargetMode="External"/><Relationship Id="rId29" Type="http://schemas.openxmlformats.org/officeDocument/2006/relationships/hyperlink" Target="verified_research_registry.html#reader:T02" TargetMode="External"/><Relationship Id="rId30" Type="http://schemas.openxmlformats.org/officeDocument/2006/relationships/hyperlink" Target="verified_research_registry.html#reader:T03" TargetMode="External"/><Relationship Id="rId31" Type="http://schemas.openxmlformats.org/officeDocument/2006/relationships/hyperlink" Target="verified_research_registry.html#reader:T04" TargetMode="External"/><Relationship Id="rId32" Type="http://schemas.openxmlformats.org/officeDocument/2006/relationships/hyperlink" Target="verified_research_registry.html#reader:T05" TargetMode="External"/><Relationship Id="rId33" Type="http://schemas.openxmlformats.org/officeDocument/2006/relationships/hyperlink" Target="verified_research_registry.html#reader:T06" TargetMode="External"/><Relationship Id="rId34" Type="http://schemas.openxmlformats.org/officeDocument/2006/relationships/hyperlink" Target="verified_research_registry.html#reader:T07" TargetMode="External"/><Relationship Id="rId35" Type="http://schemas.openxmlformats.org/officeDocument/2006/relationships/hyperlink" Target="verified_research_registry.html#reader:F03" TargetMode="External"/><Relationship Id="rId36" Type="http://schemas.openxmlformats.org/officeDocument/2006/relationships/hyperlink" Target="verified_research_registry.html#reader:F04" TargetMode="External"/><Relationship Id="rId37" Type="http://schemas.openxmlformats.org/officeDocument/2006/relationships/hyperlink" Target="https://brill.com/view/journals/ise/49/1/article-p81_81.xml" TargetMode="External"/><Relationship Id="rId38" Type="http://schemas.openxmlformats.org/officeDocument/2006/relationships/hyperlink" Target="https://doi.org/10.1016/j.parint.2021.102427" TargetMode="External"/><Relationship Id="rId39" Type="http://schemas.openxmlformats.org/officeDocument/2006/relationships/hyperlink" Target="https://doi.org/10.1016/j.ttbdis.2022.102019" TargetMode="External"/><Relationship Id="rId40" Type="http://schemas.openxmlformats.org/officeDocument/2006/relationships/hyperlink" Target="https://doi.org/10.3390/d15101096" TargetMode="External"/><Relationship Id="rId41" Type="http://schemas.openxmlformats.org/officeDocument/2006/relationships/hyperlink" Target="verified_research_registry.html#reader:local-F01" TargetMode="External"/><Relationship Id="rId42" Type="http://schemas.openxmlformats.org/officeDocument/2006/relationships/hyperlink" Target="https://academic.oup.com/zoolinnean/article/204/3/zlaf042/8178482" TargetMode="External"/><Relationship Id="rId43" Type="http://schemas.openxmlformats.org/officeDocument/2006/relationships/hyperlink" Target="verified_research_registry.html#reader:local-F02" TargetMode="External"/><Relationship Id="rId44" Type="http://schemas.openxmlformats.org/officeDocument/2006/relationships/hyperlink" Target="https://pmc.ncbi.nlm.nih.gov/articles/PMC11165799/" TargetMode="External"/><Relationship Id="rId45" Type="http://schemas.openxmlformats.org/officeDocument/2006/relationships/hyperlink" Target="verified_research_registry.html#reader:local-F03" TargetMode="External"/><Relationship Id="rId46" Type="http://schemas.openxmlformats.org/officeDocument/2006/relationships/hyperlink" Target="https://pmc.ncbi.nlm.nih.gov/articles/PMC9215091/" TargetMode="External"/><Relationship Id="rId47" Type="http://schemas.openxmlformats.org/officeDocument/2006/relationships/hyperlink" Target="verified_research_registry.html#reader:local-F04" TargetMode="External"/><Relationship Id="rId48" Type="http://schemas.openxmlformats.org/officeDocument/2006/relationships/hyperlink" Target="https://pmc.ncbi.nlm.nih.gov/articles/PMC10526365/" TargetMode="External"/><Relationship Id="rId49" Type="http://schemas.openxmlformats.org/officeDocument/2006/relationships/hyperlink" Target="verified_research_registry.html#reader:local-F05" TargetMode="External"/><Relationship Id="rId50" Type="http://schemas.openxmlformats.org/officeDocument/2006/relationships/hyperlink" Target="https://pmc.ncbi.nlm.nih.gov/articles/PMC10120440/" TargetMode="External"/><Relationship Id="rId51" Type="http://schemas.openxmlformats.org/officeDocument/2006/relationships/hyperlink" Target="verified_research_registry.html#reader:local-F06" TargetMode="External"/><Relationship Id="rId52" Type="http://schemas.openxmlformats.org/officeDocument/2006/relationships/hyperlink" Target="https://pmc.ncbi.nlm.nih.gov/articles/PMC11685425/" TargetMode="External"/><Relationship Id="rId53" Type="http://schemas.openxmlformats.org/officeDocument/2006/relationships/hyperlink" Target="verified_research_registry.html#reader:local-F07" TargetMode="External"/><Relationship Id="rId54" Type="http://schemas.openxmlformats.org/officeDocument/2006/relationships/hyperlink" Target="https://pmc.ncbi.nlm.nih.gov/articles/PMC11569212/" TargetMode="External"/><Relationship Id="rId55" Type="http://schemas.openxmlformats.org/officeDocument/2006/relationships/hyperlink" Target="verified_research_registry.html#reader:local-F08" TargetMode="External"/><Relationship Id="rId56" Type="http://schemas.openxmlformats.org/officeDocument/2006/relationships/hyperlink" Target="https://gd.eppo.int/taxon/NOSOFA" TargetMode="External"/><Relationship Id="rId57" Type="http://schemas.openxmlformats.org/officeDocument/2006/relationships/hyperlink" Target="verified_research_registry.html#reader:local-F09" TargetMode="External"/><Relationship Id="rId58" Type="http://schemas.openxmlformats.org/officeDocument/2006/relationships/hyperlink" Target="https://repository.up.ac.za/bitstreams/4d7bbc08-0764-4235-888a-a95fa2e4b9f5/download" TargetMode="External"/><Relationship Id="rId59" Type="http://schemas.openxmlformats.org/officeDocument/2006/relationships/hyperlink" Target="verified_research_registry.html#reader:local-T01" TargetMode="External"/><Relationship Id="rId60" Type="http://schemas.openxmlformats.org/officeDocument/2006/relationships/hyperlink" Target="https://www.zin.ru/Journals/parazitologiya/content/2003/prz_2003_6_2_Filippova.pdf" TargetMode="External"/><Relationship Id="rId61" Type="http://schemas.openxmlformats.org/officeDocument/2006/relationships/hyperlink" Target="verified_research_registry.html#reader:local-T02" TargetMode="External"/><Relationship Id="rId62" Type="http://schemas.openxmlformats.org/officeDocument/2006/relationships/hyperlink" Target="https://www.parasite-journal.org/articles/parasite/full_html/2014/01/parasite130066/parasite130066.html" TargetMode="External"/><Relationship Id="rId63" Type="http://schemas.openxmlformats.org/officeDocument/2006/relationships/hyperlink" Target="verified_research_registry.html#reader:local-T03" TargetMode="External"/><Relationship Id="rId64" Type="http://schemas.openxmlformats.org/officeDocument/2006/relationships/hyperlink" Target="https://www.nature.com/articles/s41598-023-51052-w" TargetMode="External"/><Relationship Id="rId65" Type="http://schemas.openxmlformats.org/officeDocument/2006/relationships/hyperlink" Target="verified_research_registry.html#reader:local-T04" TargetMode="External"/><Relationship Id="rId66" Type="http://schemas.openxmlformats.org/officeDocument/2006/relationships/hyperlink" Target="https://archimer.ifremer.fr/doc/00315/42661/113622.pdf" TargetMode="External"/><Relationship Id="rId67" Type="http://schemas.openxmlformats.org/officeDocument/2006/relationships/hyperlink" Target="verified_research_registry.html#reader:local-T05" TargetMode="External"/><Relationship Id="rId68" Type="http://schemas.openxmlformats.org/officeDocument/2006/relationships/hyperlink" Target="https://pmc.ncbi.nlm.nih.gov/articles/PMC12995914/" TargetMode="External"/><Relationship Id="rId69" Type="http://schemas.openxmlformats.org/officeDocument/2006/relationships/hyperlink" Target="verified_research_registry.html#reader:local-T06" TargetMode="External"/><Relationship Id="rId70" Type="http://schemas.openxmlformats.org/officeDocument/2006/relationships/hyperlink" Target="https://sciup.org/age-composition-of-the-hyalomma-detritum-tick-population-in-the-nakhchivan-14138225" TargetMode="External"/><Relationship Id="rId71" Type="http://schemas.openxmlformats.org/officeDocument/2006/relationships/hyperlink" Target="verified_research_registry.html#reader:local-T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